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000" w:firstRow="0" w:lastRow="0" w:firstColumn="0" w:lastColumn="0" w:noHBand="0" w:noVBand="0"/>
      </w:tblPr>
      <w:tblGrid>
        <w:gridCol w:w="2978"/>
        <w:gridCol w:w="6097"/>
      </w:tblGrid>
      <w:tr w:rsidR="00295C47" w14:paraId="13C54515" w14:textId="77777777">
        <w:trPr>
          <w:trHeight w:val="709"/>
        </w:trPr>
        <w:tc>
          <w:tcPr>
            <w:tcW w:w="2978" w:type="dxa"/>
          </w:tcPr>
          <w:p w14:paraId="4ED86AA7" w14:textId="77777777" w:rsidR="00295C47" w:rsidRDefault="00295C47">
            <w:pPr>
              <w:pStyle w:val="Heading1"/>
              <w:spacing w:before="0" w:after="0"/>
              <w:jc w:val="center"/>
              <w:rPr>
                <w:color w:val="000000"/>
                <w:sz w:val="26"/>
                <w:szCs w:val="26"/>
              </w:rPr>
            </w:pPr>
            <w:r>
              <w:br w:type="page"/>
            </w:r>
            <w:r>
              <w:rPr>
                <w:sz w:val="26"/>
                <w:szCs w:val="26"/>
              </w:rPr>
              <w:t>ỦY</w:t>
            </w:r>
            <w:r>
              <w:rPr>
                <w:color w:val="000000"/>
                <w:sz w:val="26"/>
                <w:szCs w:val="26"/>
              </w:rPr>
              <w:t xml:space="preserve"> BAN NHÂN DÂN</w:t>
            </w:r>
          </w:p>
          <w:p w14:paraId="5F805B76" w14:textId="77C31929" w:rsidR="00295C47" w:rsidRDefault="000908A9">
            <w:pPr>
              <w:pStyle w:val="Heading1"/>
              <w:spacing w:before="0" w:after="0"/>
              <w:jc w:val="center"/>
              <w:rPr>
                <w:color w:val="000000"/>
                <w:sz w:val="26"/>
              </w:rPr>
            </w:pPr>
            <w:r>
              <w:rPr>
                <w:noProof/>
                <w:lang w:val="vi-VN" w:eastAsia="vi-VN"/>
              </w:rPr>
              <mc:AlternateContent>
                <mc:Choice Requires="wps">
                  <w:drawing>
                    <wp:anchor distT="4294967295" distB="4294967295" distL="114300" distR="114300" simplePos="0" relativeHeight="251656704" behindDoc="0" locked="0" layoutInCell="1" allowOverlap="1" wp14:anchorId="5D078A7D" wp14:editId="4B6B8B12">
                      <wp:simplePos x="0" y="0"/>
                      <wp:positionH relativeFrom="column">
                        <wp:posOffset>536575</wp:posOffset>
                      </wp:positionH>
                      <wp:positionV relativeFrom="paragraph">
                        <wp:posOffset>226059</wp:posOffset>
                      </wp:positionV>
                      <wp:extent cx="737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F64F6C" id="Straight Connector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pt,17.8pt" to="10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"/>
                  </w:pict>
                </mc:Fallback>
              </mc:AlternateContent>
            </w:r>
            <w:r w:rsidR="00295C47">
              <w:rPr>
                <w:color w:val="000000"/>
                <w:sz w:val="26"/>
                <w:szCs w:val="26"/>
              </w:rPr>
              <w:t>TỈNH KON TUM</w:t>
            </w:r>
          </w:p>
        </w:tc>
        <w:tc>
          <w:tcPr>
            <w:tcW w:w="6097" w:type="dxa"/>
          </w:tcPr>
          <w:p w14:paraId="5A41B30E" w14:textId="77777777" w:rsidR="00295C47" w:rsidRDefault="00295C47">
            <w:pPr>
              <w:pStyle w:val="Heading3"/>
              <w:ind w:left="0"/>
              <w:rPr>
                <w:rFonts w:ascii="Times New Roman" w:hAnsi="Times New Roman"/>
                <w:color w:val="000000"/>
              </w:rPr>
            </w:pPr>
            <w:r>
              <w:rPr>
                <w:rFonts w:ascii="Times New Roman" w:hAnsi="Times New Roman"/>
                <w:color w:val="000000"/>
              </w:rPr>
              <w:t>CỘNG HÒA XÃ HỘI CHỦ NGHĨA VIỆT NAM</w:t>
            </w:r>
          </w:p>
          <w:p w14:paraId="257EFD39" w14:textId="12E48133" w:rsidR="00295C47" w:rsidRDefault="000908A9">
            <w:pPr>
              <w:jc w:val="center"/>
              <w:rPr>
                <w:b/>
                <w:color w:val="000000"/>
              </w:rPr>
            </w:pPr>
            <w:r>
              <w:rPr>
                <w:noProof/>
                <w:lang w:val="vi-VN" w:eastAsia="vi-VN"/>
              </w:rPr>
              <mc:AlternateContent>
                <mc:Choice Requires="wps">
                  <w:drawing>
                    <wp:anchor distT="4294967295" distB="4294967295" distL="114300" distR="114300" simplePos="0" relativeHeight="251657728" behindDoc="0" locked="0" layoutInCell="1" allowOverlap="1" wp14:anchorId="0558BAC6" wp14:editId="75D54C7E">
                      <wp:simplePos x="0" y="0"/>
                      <wp:positionH relativeFrom="column">
                        <wp:posOffset>772160</wp:posOffset>
                      </wp:positionH>
                      <wp:positionV relativeFrom="paragraph">
                        <wp:posOffset>233044</wp:posOffset>
                      </wp:positionV>
                      <wp:extent cx="21729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FFC48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8.35pt" to="23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"/>
                  </w:pict>
                </mc:Fallback>
              </mc:AlternateContent>
            </w:r>
            <w:r w:rsidR="00295C47">
              <w:rPr>
                <w:b/>
                <w:color w:val="000000"/>
                <w:szCs w:val="28"/>
              </w:rPr>
              <w:t>Độc lập - Tự do - Hạnh phúc</w:t>
            </w:r>
          </w:p>
        </w:tc>
      </w:tr>
      <w:tr w:rsidR="00295C47" w14:paraId="6351B86C" w14:textId="77777777" w:rsidTr="00190935">
        <w:trPr>
          <w:trHeight w:val="421"/>
        </w:trPr>
        <w:tc>
          <w:tcPr>
            <w:tcW w:w="2978" w:type="dxa"/>
            <w:vAlign w:val="center"/>
          </w:tcPr>
          <w:p w14:paraId="11F7F426" w14:textId="36C3E81E" w:rsidR="00295C47" w:rsidRPr="008A79BA" w:rsidRDefault="00295C47" w:rsidP="00CD7924">
            <w:pPr>
              <w:jc w:val="center"/>
              <w:rPr>
                <w:b/>
                <w:color w:val="000000"/>
                <w:szCs w:val="28"/>
              </w:rPr>
            </w:pPr>
            <w:r w:rsidRPr="008A79BA">
              <w:rPr>
                <w:color w:val="000000"/>
                <w:szCs w:val="28"/>
              </w:rPr>
              <w:t xml:space="preserve">Số:  </w:t>
            </w:r>
            <w:r w:rsidR="00CD7924">
              <w:rPr>
                <w:color w:val="000000"/>
                <w:szCs w:val="28"/>
              </w:rPr>
              <w:t>68</w:t>
            </w:r>
            <w:r w:rsidR="00323282" w:rsidRPr="008A79BA">
              <w:rPr>
                <w:color w:val="000000"/>
                <w:szCs w:val="28"/>
              </w:rPr>
              <w:t xml:space="preserve"> </w:t>
            </w:r>
            <w:r w:rsidRPr="008A79BA">
              <w:rPr>
                <w:color w:val="000000"/>
                <w:szCs w:val="28"/>
              </w:rPr>
              <w:t>/TTr-UBND</w:t>
            </w:r>
          </w:p>
        </w:tc>
        <w:tc>
          <w:tcPr>
            <w:tcW w:w="6097" w:type="dxa"/>
            <w:vAlign w:val="center"/>
          </w:tcPr>
          <w:p w14:paraId="705E0E26" w14:textId="440BAEB7" w:rsidR="00295C47" w:rsidRPr="008A79BA" w:rsidRDefault="00295C47" w:rsidP="00CD7924">
            <w:pPr>
              <w:jc w:val="center"/>
              <w:rPr>
                <w:i/>
                <w:szCs w:val="28"/>
              </w:rPr>
            </w:pPr>
            <w:r w:rsidRPr="008A79BA">
              <w:rPr>
                <w:i/>
                <w:szCs w:val="28"/>
              </w:rPr>
              <w:t xml:space="preserve">Kon Tum, ngày </w:t>
            </w:r>
            <w:r w:rsidR="00CD7924">
              <w:rPr>
                <w:i/>
                <w:szCs w:val="28"/>
              </w:rPr>
              <w:t>10</w:t>
            </w:r>
            <w:r w:rsidRPr="008A79BA">
              <w:rPr>
                <w:i/>
                <w:szCs w:val="28"/>
              </w:rPr>
              <w:t xml:space="preserve"> tháng </w:t>
            </w:r>
            <w:r w:rsidR="00CD7924">
              <w:rPr>
                <w:i/>
                <w:szCs w:val="28"/>
              </w:rPr>
              <w:t>6</w:t>
            </w:r>
            <w:r w:rsidRPr="008A79BA">
              <w:rPr>
                <w:i/>
                <w:szCs w:val="28"/>
              </w:rPr>
              <w:t xml:space="preserve"> năm </w:t>
            </w:r>
            <w:r w:rsidR="004505C0">
              <w:rPr>
                <w:i/>
                <w:szCs w:val="28"/>
              </w:rPr>
              <w:t>2022</w:t>
            </w:r>
          </w:p>
        </w:tc>
      </w:tr>
    </w:tbl>
    <w:p w14:paraId="511CE15F" w14:textId="77777777" w:rsidR="00295C47" w:rsidRDefault="00295C47">
      <w:pPr>
        <w:jc w:val="center"/>
        <w:rPr>
          <w:color w:val="000000"/>
          <w:sz w:val="4"/>
          <w:szCs w:val="28"/>
        </w:rPr>
      </w:pPr>
    </w:p>
    <w:p w14:paraId="5BFEE70E" w14:textId="77777777" w:rsidR="00295C47" w:rsidRDefault="00295C47">
      <w:pPr>
        <w:tabs>
          <w:tab w:val="left" w:pos="465"/>
        </w:tabs>
        <w:spacing w:after="60"/>
        <w:rPr>
          <w:b/>
          <w:color w:val="000000"/>
          <w:szCs w:val="28"/>
        </w:rPr>
      </w:pPr>
      <w:r>
        <w:rPr>
          <w:b/>
          <w:color w:val="000000"/>
          <w:szCs w:val="28"/>
        </w:rPr>
        <w:tab/>
      </w:r>
    </w:p>
    <w:p w14:paraId="05DA11B0" w14:textId="04414295" w:rsidR="00874277" w:rsidRPr="00447DF9" w:rsidRDefault="00295C47" w:rsidP="0099434B">
      <w:pPr>
        <w:widowControl w:val="0"/>
        <w:jc w:val="center"/>
        <w:rPr>
          <w:szCs w:val="28"/>
        </w:rPr>
      </w:pPr>
      <w:r>
        <w:rPr>
          <w:b/>
          <w:color w:val="000000"/>
          <w:szCs w:val="28"/>
        </w:rPr>
        <w:t>TỜ TRÌNH</w:t>
      </w:r>
      <w:r>
        <w:rPr>
          <w:b/>
          <w:color w:val="000000"/>
          <w:szCs w:val="28"/>
        </w:rPr>
        <w:br/>
      </w:r>
      <w:r>
        <w:rPr>
          <w:b/>
          <w:szCs w:val="28"/>
        </w:rPr>
        <w:t xml:space="preserve">Về việc điều chỉnh </w:t>
      </w:r>
      <w:r w:rsidR="0019612A">
        <w:rPr>
          <w:b/>
          <w:szCs w:val="28"/>
        </w:rPr>
        <w:t xml:space="preserve">chủ trương đầu tư </w:t>
      </w:r>
      <w:r w:rsidR="000E1878">
        <w:rPr>
          <w:b/>
          <w:szCs w:val="28"/>
        </w:rPr>
        <w:t>dự án</w:t>
      </w:r>
      <w:r w:rsidR="00B35714">
        <w:rPr>
          <w:b/>
          <w:szCs w:val="28"/>
        </w:rPr>
        <w:t xml:space="preserve">: </w:t>
      </w:r>
      <w:r w:rsidR="0099434B" w:rsidRPr="0099434B">
        <w:rPr>
          <w:b/>
          <w:szCs w:val="28"/>
        </w:rPr>
        <w:t>Hệ thống thoát nước, vỉa hè các tuyến đường nội thành, thành phố Kon Tum</w:t>
      </w:r>
    </w:p>
    <w:p w14:paraId="19E5534C" w14:textId="5EA0166F" w:rsidR="009A4D07" w:rsidRDefault="000908A9" w:rsidP="003921A2">
      <w:pPr>
        <w:widowControl w:val="0"/>
        <w:jc w:val="center"/>
        <w:rPr>
          <w:b/>
          <w:bCs/>
          <w:szCs w:val="28"/>
        </w:rPr>
      </w:pPr>
      <w:r>
        <w:rPr>
          <w:noProof/>
          <w:lang w:val="vi-VN" w:eastAsia="vi-VN"/>
        </w:rPr>
        <mc:AlternateContent>
          <mc:Choice Requires="wps">
            <w:drawing>
              <wp:anchor distT="4294967295" distB="4294967295" distL="114300" distR="114300" simplePos="0" relativeHeight="251658752" behindDoc="0" locked="0" layoutInCell="1" allowOverlap="1" wp14:anchorId="3801FDD8" wp14:editId="4DB31B4E">
                <wp:simplePos x="0" y="0"/>
                <wp:positionH relativeFrom="column">
                  <wp:posOffset>2414047</wp:posOffset>
                </wp:positionH>
                <wp:positionV relativeFrom="paragraph">
                  <wp:posOffset>48260</wp:posOffset>
                </wp:positionV>
                <wp:extent cx="9359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1pt,3.8pt" to="26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"/>
            </w:pict>
          </mc:Fallback>
        </mc:AlternateContent>
      </w:r>
    </w:p>
    <w:tbl>
      <w:tblPr>
        <w:tblW w:w="8658" w:type="dxa"/>
        <w:jc w:val="center"/>
        <w:tblLook w:val="04A0" w:firstRow="1" w:lastRow="0" w:firstColumn="1" w:lastColumn="0" w:noHBand="0" w:noVBand="1"/>
      </w:tblPr>
      <w:tblGrid>
        <w:gridCol w:w="2209"/>
        <w:gridCol w:w="6449"/>
      </w:tblGrid>
      <w:tr w:rsidR="00A02E4F" w:rsidRPr="00A02E4F" w14:paraId="407740C5" w14:textId="77777777" w:rsidTr="003F311A">
        <w:trPr>
          <w:jc w:val="center"/>
        </w:trPr>
        <w:tc>
          <w:tcPr>
            <w:tcW w:w="2209" w:type="dxa"/>
            <w:shd w:val="clear" w:color="auto" w:fill="auto"/>
          </w:tcPr>
          <w:p w14:paraId="0DB95398" w14:textId="77777777" w:rsidR="008E1F34" w:rsidRPr="00A02E4F" w:rsidRDefault="00545CA8" w:rsidP="004F0684">
            <w:pPr>
              <w:spacing w:before="120"/>
              <w:jc w:val="right"/>
              <w:rPr>
                <w:szCs w:val="28"/>
              </w:rPr>
            </w:pPr>
            <w:r w:rsidRPr="00A02E4F">
              <w:rPr>
                <w:szCs w:val="28"/>
              </w:rPr>
              <w:t>Kính gửi:</w:t>
            </w:r>
          </w:p>
        </w:tc>
        <w:tc>
          <w:tcPr>
            <w:tcW w:w="6449" w:type="dxa"/>
            <w:shd w:val="clear" w:color="auto" w:fill="auto"/>
            <w:vAlign w:val="center"/>
          </w:tcPr>
          <w:p w14:paraId="19C89E8D" w14:textId="35A2FA84" w:rsidR="008E1F34" w:rsidRPr="00A02E4F" w:rsidRDefault="00545CA8" w:rsidP="00E83992">
            <w:pPr>
              <w:spacing w:before="120"/>
              <w:jc w:val="left"/>
              <w:rPr>
                <w:b/>
                <w:color w:val="000000"/>
                <w:szCs w:val="28"/>
              </w:rPr>
            </w:pPr>
            <w:r w:rsidRPr="00A02E4F">
              <w:rPr>
                <w:szCs w:val="28"/>
              </w:rPr>
              <w:t>Hội đồng nhân dân tỉnh</w:t>
            </w:r>
            <w:r w:rsidR="00B218DF">
              <w:rPr>
                <w:szCs w:val="28"/>
              </w:rPr>
              <w:t xml:space="preserve"> Khóa XII</w:t>
            </w:r>
            <w:r w:rsidRPr="00A02E4F">
              <w:rPr>
                <w:szCs w:val="28"/>
              </w:rPr>
              <w:t xml:space="preserve">, Kỳ họp </w:t>
            </w:r>
            <w:r w:rsidR="00E83992">
              <w:rPr>
                <w:szCs w:val="28"/>
              </w:rPr>
              <w:t>thứ 3</w:t>
            </w:r>
            <w:r w:rsidRPr="00A02E4F">
              <w:rPr>
                <w:szCs w:val="28"/>
              </w:rPr>
              <w:t>.</w:t>
            </w:r>
          </w:p>
        </w:tc>
      </w:tr>
    </w:tbl>
    <w:p w14:paraId="39FC8C39" w14:textId="77777777" w:rsidR="00295C47" w:rsidRDefault="00295C47" w:rsidP="004F0684">
      <w:pPr>
        <w:spacing w:before="120"/>
        <w:jc w:val="center"/>
        <w:rPr>
          <w:b/>
          <w:color w:val="000000"/>
          <w:sz w:val="2"/>
          <w:szCs w:val="28"/>
        </w:rPr>
      </w:pPr>
    </w:p>
    <w:p w14:paraId="40F17799" w14:textId="77777777" w:rsidR="00190935" w:rsidRDefault="00190935" w:rsidP="00996907">
      <w:pPr>
        <w:widowControl w:val="0"/>
        <w:tabs>
          <w:tab w:val="left" w:pos="851"/>
        </w:tabs>
        <w:spacing w:before="60" w:after="60" w:line="264" w:lineRule="auto"/>
        <w:ind w:firstLine="680"/>
        <w:rPr>
          <w:color w:val="000000"/>
          <w:szCs w:val="28"/>
          <w:lang w:eastAsia="vi-VN"/>
        </w:rPr>
      </w:pPr>
    </w:p>
    <w:p w14:paraId="289C4B90" w14:textId="77777777" w:rsidR="00295C47" w:rsidRDefault="00295C47" w:rsidP="00190935">
      <w:pPr>
        <w:widowControl w:val="0"/>
        <w:tabs>
          <w:tab w:val="left" w:pos="851"/>
        </w:tabs>
        <w:spacing w:before="120" w:after="120"/>
        <w:ind w:firstLine="567"/>
        <w:rPr>
          <w:color w:val="000000"/>
          <w:szCs w:val="28"/>
          <w:lang w:eastAsia="vi-VN"/>
        </w:rPr>
      </w:pPr>
      <w:r>
        <w:rPr>
          <w:color w:val="000000"/>
          <w:szCs w:val="28"/>
          <w:lang w:eastAsia="vi-VN"/>
        </w:rPr>
        <w:t xml:space="preserve">Căn </w:t>
      </w:r>
      <w:bookmarkStart w:id="0" w:name="_Hlk54885309"/>
      <w:r>
        <w:rPr>
          <w:color w:val="000000"/>
          <w:szCs w:val="28"/>
          <w:lang w:eastAsia="vi-VN"/>
        </w:rPr>
        <w:t>cứ Luật Đầu tư công ngày 13 tháng 6 năm 2019</w:t>
      </w:r>
      <w:bookmarkEnd w:id="0"/>
      <w:r>
        <w:rPr>
          <w:color w:val="000000"/>
          <w:szCs w:val="28"/>
          <w:lang w:eastAsia="vi-VN"/>
        </w:rPr>
        <w:t xml:space="preserve">; </w:t>
      </w:r>
    </w:p>
    <w:p w14:paraId="0F0B9986" w14:textId="4B8514B0" w:rsidR="00660235" w:rsidRDefault="00295C47" w:rsidP="00190935">
      <w:pPr>
        <w:widowControl w:val="0"/>
        <w:tabs>
          <w:tab w:val="left" w:pos="851"/>
        </w:tabs>
        <w:spacing w:before="120" w:after="120"/>
        <w:ind w:firstLine="567"/>
        <w:rPr>
          <w:color w:val="000000"/>
          <w:szCs w:val="28"/>
          <w:lang w:eastAsia="vi-VN"/>
        </w:rPr>
      </w:pPr>
      <w:r>
        <w:rPr>
          <w:color w:val="000000"/>
          <w:szCs w:val="28"/>
          <w:lang w:eastAsia="vi-VN"/>
        </w:rPr>
        <w:t>Căn cứ Nghị định số 40/2020/NĐ-CP ngày 06 tháng 4 năm 2020 của Chính phủ quy định chi tiết thi hành một số điều của Luật Đầu tư côn</w:t>
      </w:r>
      <w:r w:rsidR="00660235">
        <w:rPr>
          <w:color w:val="000000"/>
          <w:szCs w:val="28"/>
          <w:lang w:eastAsia="vi-VN"/>
        </w:rPr>
        <w:t>g;</w:t>
      </w:r>
    </w:p>
    <w:p w14:paraId="43B93A9A" w14:textId="11199ABA" w:rsidR="00171519" w:rsidRDefault="00171519" w:rsidP="00190935">
      <w:pPr>
        <w:widowControl w:val="0"/>
        <w:tabs>
          <w:tab w:val="left" w:pos="851"/>
        </w:tabs>
        <w:spacing w:before="120" w:after="120"/>
        <w:ind w:firstLine="567"/>
        <w:rPr>
          <w:color w:val="000000"/>
          <w:szCs w:val="28"/>
          <w:lang w:eastAsia="vi-VN"/>
        </w:rPr>
      </w:pPr>
      <w:r>
        <w:rPr>
          <w:color w:val="000000"/>
          <w:szCs w:val="28"/>
          <w:lang w:eastAsia="vi-VN"/>
        </w:rPr>
        <w:t xml:space="preserve">Căn cứ </w:t>
      </w:r>
      <w:r w:rsidRPr="00171519">
        <w:rPr>
          <w:color w:val="000000"/>
          <w:szCs w:val="28"/>
          <w:lang w:eastAsia="vi-VN"/>
        </w:rPr>
        <w:t xml:space="preserve">Quyết định số 1535/QĐ-TTg ngày 15 tháng 9 năm 2021 của Thủ tướng Chính phủ về việc giao kế hoạch đầu tư công trung hạn vốn ngân sách nhà </w:t>
      </w:r>
      <w:proofErr w:type="gramStart"/>
      <w:r w:rsidRPr="00171519">
        <w:rPr>
          <w:color w:val="000000"/>
          <w:szCs w:val="28"/>
          <w:lang w:eastAsia="vi-VN"/>
        </w:rPr>
        <w:t>nước</w:t>
      </w:r>
      <w:proofErr w:type="gramEnd"/>
      <w:r w:rsidRPr="00171519">
        <w:rPr>
          <w:color w:val="000000"/>
          <w:szCs w:val="28"/>
          <w:lang w:eastAsia="vi-VN"/>
        </w:rPr>
        <w:t xml:space="preserve"> giai đoạn 2021-2025</w:t>
      </w:r>
      <w:r>
        <w:rPr>
          <w:color w:val="000000"/>
          <w:szCs w:val="28"/>
          <w:lang w:eastAsia="vi-VN"/>
        </w:rPr>
        <w:t>;</w:t>
      </w:r>
    </w:p>
    <w:p w14:paraId="4B0D64B9" w14:textId="00FB5A26" w:rsidR="00DC21C3" w:rsidRDefault="00295C47" w:rsidP="00190935">
      <w:pPr>
        <w:widowControl w:val="0"/>
        <w:tabs>
          <w:tab w:val="left" w:pos="851"/>
        </w:tabs>
        <w:spacing w:before="120" w:after="120"/>
        <w:ind w:firstLine="567"/>
        <w:rPr>
          <w:szCs w:val="28"/>
        </w:rPr>
      </w:pPr>
      <w:r>
        <w:rPr>
          <w:color w:val="000000"/>
          <w:szCs w:val="28"/>
          <w:lang w:eastAsia="vi-VN"/>
        </w:rPr>
        <w:t xml:space="preserve">Căn cứ </w:t>
      </w:r>
      <w:r w:rsidR="00DC21C3" w:rsidRPr="00DC21C3">
        <w:rPr>
          <w:szCs w:val="28"/>
        </w:rPr>
        <w:t xml:space="preserve">Nghị quyết số </w:t>
      </w:r>
      <w:r w:rsidR="00193879" w:rsidRPr="00193879">
        <w:rPr>
          <w:szCs w:val="28"/>
        </w:rPr>
        <w:t>35/NQ-HĐND ngày 29 tháng 4 năm 2022 của Hội đồng nhân dân tỉnh về chủ trương đầu tư dự án Hệ thống thoát nước, vỉa hè các tuyến đường nội thành, thành phố Kon Tum</w:t>
      </w:r>
      <w:r w:rsidR="00DC21C3">
        <w:rPr>
          <w:szCs w:val="28"/>
        </w:rPr>
        <w:t>;</w:t>
      </w:r>
    </w:p>
    <w:p w14:paraId="5BDDEC24" w14:textId="72DB06A1" w:rsidR="00295C47" w:rsidRDefault="00295C47" w:rsidP="00190935">
      <w:pPr>
        <w:widowControl w:val="0"/>
        <w:tabs>
          <w:tab w:val="left" w:pos="851"/>
        </w:tabs>
        <w:spacing w:before="120" w:after="120"/>
        <w:ind w:firstLine="567"/>
        <w:rPr>
          <w:bCs/>
          <w:szCs w:val="28"/>
        </w:rPr>
      </w:pPr>
      <w:r>
        <w:rPr>
          <w:szCs w:val="28"/>
        </w:rPr>
        <w:t xml:space="preserve">Ủy ban nhân dân tỉnh kính trình Hội đồng nhân dân tỉnh xem xét, quyết định điều chỉnh </w:t>
      </w:r>
      <w:r w:rsidR="00480103">
        <w:rPr>
          <w:szCs w:val="28"/>
        </w:rPr>
        <w:t>chủ trương đầu tư</w:t>
      </w:r>
      <w:r w:rsidR="00D2224C">
        <w:rPr>
          <w:szCs w:val="28"/>
        </w:rPr>
        <w:t xml:space="preserve"> </w:t>
      </w:r>
      <w:r w:rsidR="00812EA5" w:rsidRPr="00812EA5">
        <w:rPr>
          <w:szCs w:val="28"/>
        </w:rPr>
        <w:t xml:space="preserve">dự </w:t>
      </w:r>
      <w:proofErr w:type="gramStart"/>
      <w:r w:rsidR="00812EA5" w:rsidRPr="00812EA5">
        <w:rPr>
          <w:szCs w:val="28"/>
        </w:rPr>
        <w:t>án</w:t>
      </w:r>
      <w:proofErr w:type="gramEnd"/>
      <w:r w:rsidR="002B4CF5" w:rsidRPr="002B4CF5">
        <w:rPr>
          <w:szCs w:val="28"/>
          <w:lang w:val="pt-BR"/>
        </w:rPr>
        <w:t xml:space="preserve"> </w:t>
      </w:r>
      <w:r w:rsidR="00171519" w:rsidRPr="00171519">
        <w:rPr>
          <w:szCs w:val="28"/>
          <w:lang w:val="pt-BR"/>
        </w:rPr>
        <w:t>Hệ thống thoát nước, vỉa hè các tuyến đường nội thành, thành phố Kon Tum</w:t>
      </w:r>
      <w:r w:rsidR="00171519" w:rsidRPr="00171519">
        <w:rPr>
          <w:bCs/>
          <w:szCs w:val="28"/>
          <w:lang w:val="pt-BR"/>
        </w:rPr>
        <w:t xml:space="preserve"> </w:t>
      </w:r>
      <w:r>
        <w:rPr>
          <w:bCs/>
          <w:szCs w:val="28"/>
        </w:rPr>
        <w:t>với các nội dung chính sau:</w:t>
      </w:r>
    </w:p>
    <w:p w14:paraId="6BB9003C" w14:textId="77777777" w:rsidR="00295C47" w:rsidRDefault="002810F1" w:rsidP="00190935">
      <w:pPr>
        <w:spacing w:before="120" w:after="120"/>
        <w:ind w:firstLine="567"/>
        <w:rPr>
          <w:b/>
          <w:bCs/>
          <w:szCs w:val="28"/>
        </w:rPr>
      </w:pPr>
      <w:r>
        <w:rPr>
          <w:b/>
          <w:bCs/>
          <w:szCs w:val="28"/>
        </w:rPr>
        <w:t xml:space="preserve">1. </w:t>
      </w:r>
      <w:r w:rsidR="00295C47">
        <w:rPr>
          <w:b/>
          <w:bCs/>
          <w:szCs w:val="28"/>
        </w:rPr>
        <w:t xml:space="preserve">Lý </w:t>
      </w:r>
      <w:proofErr w:type="gramStart"/>
      <w:r w:rsidR="00295C47">
        <w:rPr>
          <w:b/>
          <w:bCs/>
          <w:szCs w:val="28"/>
        </w:rPr>
        <w:t>do</w:t>
      </w:r>
      <w:proofErr w:type="gramEnd"/>
      <w:r w:rsidR="00295C47">
        <w:rPr>
          <w:b/>
          <w:bCs/>
          <w:szCs w:val="28"/>
        </w:rPr>
        <w:t xml:space="preserve"> điều chỉnh:</w:t>
      </w:r>
      <w:r w:rsidR="00295C47">
        <w:rPr>
          <w:b/>
        </w:rPr>
        <w:t xml:space="preserve"> </w:t>
      </w:r>
    </w:p>
    <w:p w14:paraId="334AF1DD" w14:textId="58D3861A" w:rsidR="00B4245C" w:rsidRPr="00031D9A" w:rsidRDefault="00755083" w:rsidP="00190935">
      <w:pPr>
        <w:spacing w:before="120" w:after="120"/>
        <w:ind w:firstLine="567"/>
        <w:rPr>
          <w:szCs w:val="28"/>
          <w:lang w:val="es-MX"/>
        </w:rPr>
      </w:pPr>
      <w:r>
        <w:rPr>
          <w:szCs w:val="28"/>
        </w:rPr>
        <w:t xml:space="preserve">- </w:t>
      </w:r>
      <w:r w:rsidR="00022DC7">
        <w:rPr>
          <w:szCs w:val="28"/>
        </w:rPr>
        <w:t xml:space="preserve">Trước đây, trên cơ sở mức vốn </w:t>
      </w:r>
      <w:r w:rsidR="00022DC7" w:rsidRPr="00255DB4">
        <w:rPr>
          <w:b/>
          <w:szCs w:val="28"/>
        </w:rPr>
        <w:t>dự kiến</w:t>
      </w:r>
      <w:r w:rsidR="00022DC7">
        <w:rPr>
          <w:szCs w:val="28"/>
        </w:rPr>
        <w:t xml:space="preserve"> Kế hoạch đầu tư công trung hạn giai đoạn 2021-2025 tỉnh Kon Tum được Hội đồng nhân dân tỉnh thông qua tại </w:t>
      </w:r>
      <w:r w:rsidR="00022DC7" w:rsidRPr="00471ED0">
        <w:rPr>
          <w:szCs w:val="28"/>
        </w:rPr>
        <w:t>Nghị quyết số 69/NQ-HĐND ngày 09 tháng 12 năm 202</w:t>
      </w:r>
      <w:r w:rsidR="0029363B" w:rsidRPr="00471ED0">
        <w:rPr>
          <w:szCs w:val="28"/>
        </w:rPr>
        <w:t>0</w:t>
      </w:r>
      <w:r w:rsidR="00022DC7">
        <w:rPr>
          <w:szCs w:val="28"/>
        </w:rPr>
        <w:t xml:space="preserve">, Ủy ban nhân dân tỉnh đã trình Hội đồng nhân dân tỉnh phê duyệt chủ trương đầu tư </w:t>
      </w:r>
      <w:r w:rsidR="00103348" w:rsidRPr="00103348">
        <w:rPr>
          <w:szCs w:val="28"/>
        </w:rPr>
        <w:t>Dự án Hệ thống thoát nước, vỉa hè các tuyến đường nội thành, thành phố Kon Tum được Hội đồng nhân dân tỉnh phê duyệt chủ trương đầu tư tại Nghị quyết số 35/N</w:t>
      </w:r>
      <w:r w:rsidR="00022DC7">
        <w:rPr>
          <w:szCs w:val="28"/>
        </w:rPr>
        <w:t xml:space="preserve">Q-HĐND ngày 29 tháng 4 năm 2021 với </w:t>
      </w:r>
      <w:r w:rsidR="00103348" w:rsidRPr="00103348">
        <w:rPr>
          <w:szCs w:val="28"/>
        </w:rPr>
        <w:t xml:space="preserve">tổng mức đầu tư </w:t>
      </w:r>
      <w:r w:rsidR="007978E2">
        <w:rPr>
          <w:szCs w:val="28"/>
        </w:rPr>
        <w:t xml:space="preserve">khoảng </w:t>
      </w:r>
      <w:r w:rsidR="00103348" w:rsidRPr="00103348">
        <w:rPr>
          <w:szCs w:val="28"/>
        </w:rPr>
        <w:t>185.000 triệu đồng, sử dụng từ nguồn vốn ngân sách trung ương hỗ trợ theo ngành</w:t>
      </w:r>
      <w:r w:rsidR="00255DB4">
        <w:rPr>
          <w:szCs w:val="28"/>
        </w:rPr>
        <w:t xml:space="preserve">, lĩnh vực giai đoạn 2021-2025 </w:t>
      </w:r>
      <w:r w:rsidR="00103348" w:rsidRPr="00255DB4">
        <w:rPr>
          <w:b/>
          <w:iCs/>
          <w:szCs w:val="28"/>
        </w:rPr>
        <w:t>khoảng 166.500 triệu đồng</w:t>
      </w:r>
      <w:r w:rsidR="00103348" w:rsidRPr="00103348">
        <w:rPr>
          <w:szCs w:val="28"/>
        </w:rPr>
        <w:t xml:space="preserve"> và các nguồn ngân sách thành phố; tiến độ thực hiện từ năm 2022</w:t>
      </w:r>
      <w:r w:rsidR="00B4245C" w:rsidRPr="00031D9A">
        <w:rPr>
          <w:szCs w:val="28"/>
          <w:lang w:val="es-MX"/>
        </w:rPr>
        <w:t>.</w:t>
      </w:r>
      <w:r w:rsidR="00022DC7">
        <w:rPr>
          <w:szCs w:val="28"/>
          <w:lang w:val="es-MX"/>
        </w:rPr>
        <w:t xml:space="preserve"> </w:t>
      </w:r>
      <w:r w:rsidR="00022DC7" w:rsidRPr="00CD7924">
        <w:rPr>
          <w:szCs w:val="28"/>
          <w:lang w:val="es-MX"/>
        </w:rPr>
        <w:t>Ủy ban nhân dân tỉnh giao triển khai chủ trương đầu tư tại Quyết định số 415/QĐ-UBND ngày 14 tháng 5 năm 2021.</w:t>
      </w:r>
    </w:p>
    <w:p w14:paraId="7C9A3DC9" w14:textId="59BA2DDA" w:rsidR="00755083" w:rsidRPr="00CD7924" w:rsidRDefault="00924546" w:rsidP="00471ED0">
      <w:pPr>
        <w:widowControl w:val="0"/>
        <w:shd w:val="clear" w:color="auto" w:fill="FFFFFF"/>
        <w:spacing w:before="120" w:after="120"/>
        <w:ind w:firstLine="567"/>
        <w:rPr>
          <w:szCs w:val="28"/>
          <w:lang w:val="es-MX"/>
        </w:rPr>
      </w:pPr>
      <w:r w:rsidRPr="00CD7924">
        <w:rPr>
          <w:szCs w:val="28"/>
          <w:lang w:val="es-MX"/>
        </w:rPr>
        <w:t xml:space="preserve">Tuy nhiên, </w:t>
      </w:r>
      <w:r w:rsidR="00471ED0" w:rsidRPr="00CD7924">
        <w:rPr>
          <w:szCs w:val="28"/>
          <w:lang w:val="es-MX"/>
        </w:rPr>
        <w:t xml:space="preserve">tại </w:t>
      </w:r>
      <w:r w:rsidR="00471ED0" w:rsidRPr="004D4F67">
        <w:rPr>
          <w:color w:val="000000"/>
          <w:lang w:val="nl-NL"/>
        </w:rPr>
        <w:t>Công văn số 419/TTg-KTTH ngày 02 tháng 4 năm 2021 của Thủ tướng Chính phủ về việc dự kiến kế hoạch đầu tư công trung hạn giai đoạn 2021-2025</w:t>
      </w:r>
      <w:r w:rsidR="00471ED0">
        <w:rPr>
          <w:color w:val="000000"/>
          <w:lang w:val="nl-NL"/>
        </w:rPr>
        <w:t>, số vốn được trung ương</w:t>
      </w:r>
      <w:r w:rsidR="006A4C3B">
        <w:rPr>
          <w:color w:val="000000"/>
          <w:lang w:val="nl-NL"/>
        </w:rPr>
        <w:t xml:space="preserve"> </w:t>
      </w:r>
      <w:r w:rsidR="00471ED0">
        <w:rPr>
          <w:color w:val="000000"/>
          <w:lang w:val="nl-NL"/>
        </w:rPr>
        <w:t>hỗ trợ</w:t>
      </w:r>
      <w:r w:rsidR="00471ED0" w:rsidRPr="00CD7924">
        <w:rPr>
          <w:szCs w:val="28"/>
          <w:lang w:val="es-MX"/>
        </w:rPr>
        <w:t xml:space="preserve"> không đảm bảo theo phương án đã được Hội đồng nhân dân tỉnh thông qua tại Nghị quyết số 69/NQ-HĐND ngày 09 tháng 12 năm 2020. Do đó, Ủy ban nhân dân tỉnh đã </w:t>
      </w:r>
      <w:r w:rsidR="004F3552" w:rsidRPr="00CD7924">
        <w:rPr>
          <w:szCs w:val="28"/>
          <w:lang w:val="es-MX"/>
        </w:rPr>
        <w:t xml:space="preserve">hoàn thiện và </w:t>
      </w:r>
      <w:r w:rsidR="00471ED0" w:rsidRPr="00CD7924">
        <w:rPr>
          <w:szCs w:val="28"/>
          <w:lang w:val="es-MX"/>
        </w:rPr>
        <w:t xml:space="preserve">trình Hội đồng nhân dân </w:t>
      </w:r>
      <w:r w:rsidR="004F3552" w:rsidRPr="00CD7924">
        <w:rPr>
          <w:szCs w:val="28"/>
          <w:lang w:val="es-MX"/>
        </w:rPr>
        <w:t>tỉnh thông qua</w:t>
      </w:r>
      <w:r w:rsidR="00471ED0" w:rsidRPr="00CD7924">
        <w:rPr>
          <w:szCs w:val="28"/>
          <w:lang w:val="es-MX"/>
        </w:rPr>
        <w:t xml:space="preserve"> phương án phân bổ kế hoạch đầu tư công trung </w:t>
      </w:r>
      <w:r w:rsidR="00471ED0" w:rsidRPr="00CD7924">
        <w:rPr>
          <w:szCs w:val="28"/>
          <w:lang w:val="es-MX"/>
        </w:rPr>
        <w:lastRenderedPageBreak/>
        <w:t>hạn</w:t>
      </w:r>
      <w:r w:rsidR="003C1E58" w:rsidRPr="00CD7924">
        <w:rPr>
          <w:szCs w:val="28"/>
          <w:lang w:val="es-MX"/>
        </w:rPr>
        <w:t xml:space="preserve"> nguồn ngân sách trung ương</w:t>
      </w:r>
      <w:r w:rsidR="00471ED0" w:rsidRPr="00CD7924">
        <w:rPr>
          <w:szCs w:val="28"/>
          <w:lang w:val="es-MX"/>
        </w:rPr>
        <w:t xml:space="preserve"> giai đoạn 2021-2025 tại Nghị quyết số 11/NQ-HĐND ngày 05 tháng 7 năm 2021 và được </w:t>
      </w:r>
      <w:r w:rsidRPr="00CD7924">
        <w:rPr>
          <w:szCs w:val="28"/>
          <w:lang w:val="es-MX"/>
        </w:rPr>
        <w:t xml:space="preserve">Thủ tướng Chính phủ </w:t>
      </w:r>
      <w:r w:rsidRPr="00CD7924">
        <w:rPr>
          <w:b/>
          <w:szCs w:val="28"/>
          <w:lang w:val="es-MX"/>
        </w:rPr>
        <w:t>giao</w:t>
      </w:r>
      <w:r w:rsidR="00022DC7" w:rsidRPr="00CD7924">
        <w:rPr>
          <w:b/>
          <w:szCs w:val="28"/>
          <w:lang w:val="es-MX"/>
        </w:rPr>
        <w:t xml:space="preserve"> chính thức</w:t>
      </w:r>
      <w:r w:rsidRPr="00CD7924">
        <w:rPr>
          <w:szCs w:val="28"/>
          <w:lang w:val="es-MX"/>
        </w:rPr>
        <w:t xml:space="preserve"> tại Quyết định số 1535/</w:t>
      </w:r>
      <w:r w:rsidR="00471ED0" w:rsidRPr="00CD7924">
        <w:rPr>
          <w:szCs w:val="28"/>
          <w:lang w:val="es-MX"/>
        </w:rPr>
        <w:t xml:space="preserve">QĐ-TTg ngày 15 tháng 9 năm 2021; theo đó, </w:t>
      </w:r>
      <w:r w:rsidRPr="00CD7924">
        <w:rPr>
          <w:szCs w:val="28"/>
          <w:lang w:val="es-MX"/>
        </w:rPr>
        <w:t>dự án</w:t>
      </w:r>
      <w:r w:rsidR="00471ED0" w:rsidRPr="00CD7924">
        <w:rPr>
          <w:szCs w:val="28"/>
          <w:lang w:val="es-MX"/>
        </w:rPr>
        <w:t xml:space="preserve"> nêu trên</w:t>
      </w:r>
      <w:r w:rsidRPr="00CD7924">
        <w:rPr>
          <w:szCs w:val="28"/>
          <w:lang w:val="es-MX"/>
        </w:rPr>
        <w:t xml:space="preserve"> </w:t>
      </w:r>
      <w:r w:rsidR="00255DB4" w:rsidRPr="00CD7924">
        <w:rPr>
          <w:szCs w:val="28"/>
          <w:lang w:val="es-MX"/>
        </w:rPr>
        <w:t xml:space="preserve">chỉ </w:t>
      </w:r>
      <w:r w:rsidRPr="00CD7924">
        <w:rPr>
          <w:szCs w:val="28"/>
          <w:lang w:val="es-MX"/>
        </w:rPr>
        <w:t xml:space="preserve">được bố trí </w:t>
      </w:r>
      <w:r w:rsidRPr="00CD7924">
        <w:rPr>
          <w:b/>
          <w:szCs w:val="28"/>
          <w:lang w:val="es-MX"/>
        </w:rPr>
        <w:t>100.000 triệu đồng</w:t>
      </w:r>
      <w:r w:rsidRPr="00CD7924">
        <w:rPr>
          <w:szCs w:val="28"/>
          <w:lang w:val="es-MX"/>
        </w:rPr>
        <w:t xml:space="preserve"> trong giai đoạn 2021-2025 và dự kiến hoàn thành sau năm 2025</w:t>
      </w:r>
      <w:r w:rsidR="00471ED0" w:rsidRPr="00CD7924">
        <w:rPr>
          <w:szCs w:val="28"/>
          <w:lang w:val="es-MX"/>
        </w:rPr>
        <w:t xml:space="preserve">. </w:t>
      </w:r>
      <w:r w:rsidR="00471ED0" w:rsidRPr="00CD7924">
        <w:rPr>
          <w:szCs w:val="28"/>
          <w:lang w:val="es-MX" w:eastAsia="ja-JP"/>
        </w:rPr>
        <w:t>Vì vậy</w:t>
      </w:r>
      <w:r w:rsidRPr="00CD7924">
        <w:rPr>
          <w:szCs w:val="28"/>
          <w:lang w:val="es-MX" w:eastAsia="ja-JP"/>
        </w:rPr>
        <w:t xml:space="preserve">, để đảm bảo </w:t>
      </w:r>
      <w:r w:rsidR="0081671F" w:rsidRPr="00CD7924">
        <w:rPr>
          <w:szCs w:val="28"/>
          <w:lang w:val="es-MX" w:eastAsia="ja-JP"/>
        </w:rPr>
        <w:t xml:space="preserve">dự án phù hợp với khả năng cân đối vốn và tiến độ thực hiện dự án </w:t>
      </w:r>
      <w:r w:rsidR="00392A78" w:rsidRPr="00CD7924">
        <w:rPr>
          <w:szCs w:val="28"/>
          <w:lang w:val="es-MX" w:eastAsia="ja-JP"/>
        </w:rPr>
        <w:t>theo Kế hoạch đầu tư công trung hạn giai đoạn 2021-2025 nguồn ngâ</w:t>
      </w:r>
      <w:r w:rsidR="00BF088F" w:rsidRPr="00CD7924">
        <w:rPr>
          <w:szCs w:val="28"/>
          <w:lang w:val="es-MX" w:eastAsia="ja-JP"/>
        </w:rPr>
        <w:t xml:space="preserve">n sách trung ương được duyệt, đảm bảo </w:t>
      </w:r>
      <w:r w:rsidR="00392A78" w:rsidRPr="00CD7924">
        <w:rPr>
          <w:szCs w:val="28"/>
          <w:lang w:val="es-MX" w:eastAsia="ja-JP"/>
        </w:rPr>
        <w:t>đúng quy định của Luật Đầu tư công</w:t>
      </w:r>
      <w:r w:rsidR="00BF088F" w:rsidRPr="00CD7924">
        <w:rPr>
          <w:szCs w:val="28"/>
          <w:lang w:val="es-MX" w:eastAsia="ja-JP"/>
        </w:rPr>
        <w:t>,</w:t>
      </w:r>
      <w:r w:rsidR="00392A78" w:rsidRPr="00CD7924">
        <w:rPr>
          <w:szCs w:val="28"/>
          <w:lang w:val="es-MX" w:eastAsia="ja-JP"/>
        </w:rPr>
        <w:t xml:space="preserve"> </w:t>
      </w:r>
      <w:r w:rsidR="00755083" w:rsidRPr="00CD7924">
        <w:rPr>
          <w:szCs w:val="28"/>
          <w:lang w:val="es-MX" w:eastAsia="ja-JP"/>
        </w:rPr>
        <w:t>việc trình Hội đồng nhân dân tỉnh điều chỉnh cơ cấu nguồn vốn</w:t>
      </w:r>
      <w:r w:rsidR="00BF088F" w:rsidRPr="00CD7924">
        <w:rPr>
          <w:szCs w:val="28"/>
          <w:lang w:val="es-MX" w:eastAsia="ja-JP"/>
        </w:rPr>
        <w:t xml:space="preserve"> và tiến độ thực hiện</w:t>
      </w:r>
      <w:r w:rsidR="00755083" w:rsidRPr="00CD7924">
        <w:rPr>
          <w:szCs w:val="28"/>
          <w:lang w:val="es-MX" w:eastAsia="ja-JP"/>
        </w:rPr>
        <w:t xml:space="preserve"> là cần thiết</w:t>
      </w:r>
      <w:r w:rsidR="00A510EE">
        <w:rPr>
          <w:szCs w:val="28"/>
          <w:lang w:val="es-MX"/>
        </w:rPr>
        <w:t xml:space="preserve">. </w:t>
      </w:r>
    </w:p>
    <w:p w14:paraId="146BB495" w14:textId="4B97BB7D" w:rsidR="00190935" w:rsidRPr="00CD7924" w:rsidRDefault="00755083" w:rsidP="00190935">
      <w:pPr>
        <w:widowControl w:val="0"/>
        <w:shd w:val="clear" w:color="auto" w:fill="FFFFFF"/>
        <w:spacing w:before="120" w:after="120"/>
        <w:ind w:firstLine="567"/>
        <w:rPr>
          <w:szCs w:val="28"/>
          <w:lang w:val="es-MX" w:eastAsia="ja-JP"/>
        </w:rPr>
      </w:pPr>
      <w:r>
        <w:rPr>
          <w:szCs w:val="28"/>
          <w:lang w:val="es-MX"/>
        </w:rPr>
        <w:t xml:space="preserve">- Bên cạnh đó, </w:t>
      </w:r>
      <w:r w:rsidR="00B31596">
        <w:rPr>
          <w:szCs w:val="28"/>
          <w:lang w:val="es-MX"/>
        </w:rPr>
        <w:t xml:space="preserve">qua khảo sát, </w:t>
      </w:r>
      <w:r w:rsidR="00CC6713">
        <w:rPr>
          <w:szCs w:val="28"/>
          <w:lang w:val="es-MX"/>
        </w:rPr>
        <w:t xml:space="preserve">dự án cần điều chỉnh quy mô đầu tư </w:t>
      </w:r>
      <w:r w:rsidR="00A510EE">
        <w:rPr>
          <w:szCs w:val="28"/>
          <w:lang w:val="es-MX"/>
        </w:rPr>
        <w:t>để phù hợp với tình hình thực tế của các tuyến đường, vỉa hè trên địa bàn thành phố</w:t>
      </w:r>
      <w:r w:rsidR="008230FE">
        <w:rPr>
          <w:szCs w:val="28"/>
          <w:lang w:val="es-MX"/>
        </w:rPr>
        <w:t xml:space="preserve"> đã được các đơn vị đầu tư từ các dự án </w:t>
      </w:r>
      <w:proofErr w:type="gramStart"/>
      <w:r w:rsidR="008230FE">
        <w:rPr>
          <w:szCs w:val="28"/>
          <w:lang w:val="es-MX"/>
        </w:rPr>
        <w:t>khác</w:t>
      </w:r>
      <w:r w:rsidR="00834975">
        <w:rPr>
          <w:szCs w:val="28"/>
          <w:vertAlign w:val="superscript"/>
          <w:lang w:val="es-MX"/>
        </w:rPr>
        <w:t>(</w:t>
      </w:r>
      <w:proofErr w:type="gramEnd"/>
      <w:r w:rsidR="00834975">
        <w:rPr>
          <w:rStyle w:val="FootnoteReference"/>
          <w:szCs w:val="28"/>
          <w:lang w:val="es-MX"/>
        </w:rPr>
        <w:footnoteReference w:id="1"/>
      </w:r>
      <w:r w:rsidR="00834975">
        <w:rPr>
          <w:szCs w:val="28"/>
          <w:vertAlign w:val="superscript"/>
          <w:lang w:val="es-MX"/>
        </w:rPr>
        <w:t>)</w:t>
      </w:r>
      <w:r w:rsidR="008230FE">
        <w:rPr>
          <w:szCs w:val="28"/>
          <w:lang w:val="es-MX"/>
        </w:rPr>
        <w:t>.</w:t>
      </w:r>
      <w:r w:rsidR="00701D7A">
        <w:rPr>
          <w:szCs w:val="28"/>
          <w:lang w:val="es-MX"/>
        </w:rPr>
        <w:t xml:space="preserve"> Quy mô đầu tư điều chỉnh giảm không đáng kể, cùng với sự biến động về giá nguyên, vật liệu và chi phí nhân công ở thời điểm hiện tại nên tổng mức đầu tư của dự án không thay đổi so với chủ trương đã được duyệt.</w:t>
      </w:r>
    </w:p>
    <w:p w14:paraId="1F0FDAA5" w14:textId="7A046AA2" w:rsidR="0070129B" w:rsidRPr="00CD7924" w:rsidRDefault="00190935" w:rsidP="00190935">
      <w:pPr>
        <w:widowControl w:val="0"/>
        <w:shd w:val="clear" w:color="auto" w:fill="FFFFFF"/>
        <w:spacing w:before="120" w:after="120"/>
        <w:ind w:firstLine="567"/>
        <w:rPr>
          <w:b/>
          <w:szCs w:val="28"/>
          <w:lang w:val="es-MX" w:eastAsia="ja-JP"/>
        </w:rPr>
      </w:pPr>
      <w:r w:rsidRPr="00CD7924">
        <w:rPr>
          <w:b/>
          <w:szCs w:val="28"/>
          <w:lang w:val="es-MX" w:eastAsia="ja-JP"/>
        </w:rPr>
        <w:t xml:space="preserve">2. </w:t>
      </w:r>
      <w:r w:rsidR="00295C47" w:rsidRPr="00CD7924">
        <w:rPr>
          <w:b/>
          <w:bCs/>
          <w:szCs w:val="28"/>
          <w:lang w:val="es-MX"/>
        </w:rPr>
        <w:t>Các nội dung điều chỉnh:</w:t>
      </w:r>
    </w:p>
    <w:p w14:paraId="3E43B320" w14:textId="3100FE40" w:rsidR="0070129B" w:rsidRPr="00CD7924" w:rsidRDefault="005A25EB" w:rsidP="00190935">
      <w:pPr>
        <w:tabs>
          <w:tab w:val="left" w:pos="851"/>
        </w:tabs>
        <w:spacing w:before="120" w:after="120"/>
        <w:ind w:firstLine="567"/>
        <w:rPr>
          <w:szCs w:val="28"/>
          <w:lang w:val="es-MX"/>
        </w:rPr>
      </w:pPr>
      <w:r w:rsidRPr="00CD7924">
        <w:rPr>
          <w:b/>
          <w:szCs w:val="28"/>
          <w:lang w:val="es-MX"/>
        </w:rPr>
        <w:t xml:space="preserve">a) </w:t>
      </w:r>
      <w:r w:rsidR="0070129B" w:rsidRPr="00CD7924">
        <w:rPr>
          <w:b/>
          <w:szCs w:val="28"/>
          <w:lang w:val="es-MX"/>
        </w:rPr>
        <w:t>Nội dung điều chỉnh gồm</w:t>
      </w:r>
      <w:r w:rsidR="006E5B65" w:rsidRPr="00CD7924">
        <w:rPr>
          <w:b/>
          <w:szCs w:val="28"/>
          <w:lang w:val="es-MX"/>
        </w:rPr>
        <w:t>:</w:t>
      </w:r>
      <w:r w:rsidR="006E5B65" w:rsidRPr="00CD7924">
        <w:rPr>
          <w:szCs w:val="28"/>
          <w:lang w:val="es-MX"/>
        </w:rPr>
        <w:t xml:space="preserve"> Quy mô đầu tư</w:t>
      </w:r>
      <w:r w:rsidR="0070129B" w:rsidRPr="00CD7924">
        <w:rPr>
          <w:szCs w:val="28"/>
          <w:lang w:val="es-MX"/>
        </w:rPr>
        <w:t>,</w:t>
      </w:r>
      <w:r w:rsidR="001A254F" w:rsidRPr="00CD7924">
        <w:rPr>
          <w:szCs w:val="28"/>
          <w:lang w:val="es-MX"/>
        </w:rPr>
        <w:t xml:space="preserve"> </w:t>
      </w:r>
      <w:r w:rsidR="00BC508D" w:rsidRPr="00CD7924">
        <w:rPr>
          <w:szCs w:val="28"/>
          <w:lang w:val="es-MX"/>
        </w:rPr>
        <w:t>nguồn vốn đầu tư</w:t>
      </w:r>
      <w:r w:rsidR="00476EE0" w:rsidRPr="00CD7924">
        <w:rPr>
          <w:szCs w:val="28"/>
          <w:lang w:val="es-MX"/>
        </w:rPr>
        <w:t xml:space="preserve"> và tiến độ thực hiện dự án</w:t>
      </w:r>
      <w:r w:rsidRPr="00CD7924">
        <w:rPr>
          <w:szCs w:val="28"/>
          <w:lang w:val="es-MX"/>
        </w:rPr>
        <w:t xml:space="preserve"> so với chủ trương đầu tư đã được Hội đồng nhân dân tỉnh phê duyệt tại Nghị quyết số 35/NQ-HĐND ngày 29 tháng 4 năm 2021</w:t>
      </w:r>
      <w:r w:rsidR="00476EE0" w:rsidRPr="00CD7924">
        <w:rPr>
          <w:szCs w:val="28"/>
          <w:lang w:val="es-MX"/>
        </w:rPr>
        <w:t>,</w:t>
      </w:r>
      <w:r w:rsidR="0070129B" w:rsidRPr="00CD7924">
        <w:rPr>
          <w:szCs w:val="28"/>
          <w:lang w:val="es-MX"/>
        </w:rPr>
        <w:t xml:space="preserve"> cụ thể:</w:t>
      </w:r>
    </w:p>
    <w:p w14:paraId="1F67746F" w14:textId="59545C53" w:rsidR="005A25EB" w:rsidRPr="00CD7924" w:rsidRDefault="005A25EB" w:rsidP="006507D4">
      <w:pPr>
        <w:tabs>
          <w:tab w:val="left" w:pos="851"/>
        </w:tabs>
        <w:spacing w:before="120" w:after="120"/>
        <w:ind w:firstLine="567"/>
        <w:rPr>
          <w:szCs w:val="28"/>
          <w:lang w:val="es-MX"/>
        </w:rPr>
      </w:pPr>
      <w:r w:rsidRPr="00CD7924">
        <w:rPr>
          <w:szCs w:val="28"/>
          <w:lang w:val="es-MX"/>
        </w:rPr>
        <w:t>- Quy mô đầu tư: Giảm tổng chiều dài hệ thống thoát nước từ khoảng 8.560m xuống còn khoảng 8.108m và diện tích vỉa hè từ khoảng 35.180m</w:t>
      </w:r>
      <w:r w:rsidRPr="00CD7924">
        <w:rPr>
          <w:szCs w:val="28"/>
          <w:vertAlign w:val="superscript"/>
          <w:lang w:val="es-MX"/>
        </w:rPr>
        <w:t>2</w:t>
      </w:r>
      <w:r w:rsidRPr="00CD7924">
        <w:rPr>
          <w:szCs w:val="28"/>
          <w:lang w:val="es-MX"/>
        </w:rPr>
        <w:t xml:space="preserve"> xuống còn </w:t>
      </w:r>
      <w:r w:rsidR="005F7A1C" w:rsidRPr="00CD7924">
        <w:rPr>
          <w:szCs w:val="28"/>
          <w:lang w:val="es-MX"/>
        </w:rPr>
        <w:t>khoảng 33.125m</w:t>
      </w:r>
      <w:r w:rsidR="005F7A1C" w:rsidRPr="00CD7924">
        <w:rPr>
          <w:szCs w:val="28"/>
          <w:vertAlign w:val="superscript"/>
          <w:lang w:val="es-MX"/>
        </w:rPr>
        <w:t>2</w:t>
      </w:r>
      <w:r w:rsidR="005F7A1C" w:rsidRPr="00CD7924">
        <w:rPr>
          <w:szCs w:val="28"/>
          <w:lang w:val="es-MX"/>
        </w:rPr>
        <w:t>.</w:t>
      </w:r>
    </w:p>
    <w:p w14:paraId="1F0A7095" w14:textId="5AAAC284" w:rsidR="00370426" w:rsidRPr="005F7A1C" w:rsidRDefault="00370426" w:rsidP="00602892">
      <w:pPr>
        <w:tabs>
          <w:tab w:val="left" w:pos="851"/>
        </w:tabs>
        <w:spacing w:before="120" w:after="120"/>
        <w:ind w:firstLine="567"/>
        <w:rPr>
          <w:szCs w:val="28"/>
          <w:lang w:val="nl-NL"/>
        </w:rPr>
      </w:pPr>
      <w:r w:rsidRPr="00CD7924">
        <w:rPr>
          <w:szCs w:val="28"/>
          <w:lang w:val="es-MX"/>
        </w:rPr>
        <w:t xml:space="preserve">- </w:t>
      </w:r>
      <w:r w:rsidRPr="005F7A1C">
        <w:rPr>
          <w:szCs w:val="28"/>
          <w:lang w:val="nl-NL"/>
        </w:rPr>
        <w:t>Nguồn vốn đầu tư</w:t>
      </w:r>
      <w:r w:rsidR="00602892" w:rsidRPr="005F7A1C">
        <w:rPr>
          <w:szCs w:val="28"/>
          <w:lang w:val="nl-NL"/>
        </w:rPr>
        <w:t xml:space="preserve">: </w:t>
      </w:r>
      <w:r w:rsidRPr="00CD7924">
        <w:rPr>
          <w:szCs w:val="28"/>
          <w:lang w:val="es-MX"/>
        </w:rPr>
        <w:t>Điều chỉnh từ </w:t>
      </w:r>
      <w:r w:rsidR="00602892" w:rsidRPr="00CD7924">
        <w:rPr>
          <w:szCs w:val="28"/>
          <w:lang w:val="es-MX"/>
        </w:rPr>
        <w:t>“</w:t>
      </w:r>
      <w:r w:rsidRPr="00CD7924">
        <w:rPr>
          <w:szCs w:val="28"/>
          <w:lang w:val="es-MX"/>
        </w:rPr>
        <w:t>Nguồn ngân sách Trung ương hỗ trợ đầu tư theo ngành, lĩnh vực giai đoạn 2021-2025 (khoảng 166.500 triệu đồng) và nguồn ngân sách thành phố thành</w:t>
      </w:r>
      <w:r w:rsidR="00602892" w:rsidRPr="00CD7924">
        <w:rPr>
          <w:szCs w:val="28"/>
          <w:lang w:val="es-MX"/>
        </w:rPr>
        <w:t>”</w:t>
      </w:r>
      <w:r w:rsidRPr="00CD7924">
        <w:rPr>
          <w:szCs w:val="28"/>
          <w:lang w:val="es-MX"/>
        </w:rPr>
        <w:t xml:space="preserve"> thành </w:t>
      </w:r>
      <w:r w:rsidR="00602892" w:rsidRPr="00CD7924">
        <w:rPr>
          <w:szCs w:val="28"/>
          <w:lang w:val="es-MX"/>
        </w:rPr>
        <w:t>“</w:t>
      </w:r>
      <w:r w:rsidRPr="00CD7924">
        <w:rPr>
          <w:szCs w:val="28"/>
          <w:lang w:val="es-MX"/>
        </w:rPr>
        <w:t>Nguồn ngân sách Trung ương hỗ trợ theo ngành, lĩnh vực (khoảng 166.500 triệu đồng) và ngân sách thành phố</w:t>
      </w:r>
      <w:r w:rsidR="00602892" w:rsidRPr="00CD7924">
        <w:rPr>
          <w:szCs w:val="28"/>
          <w:lang w:val="es-MX"/>
        </w:rPr>
        <w:t>”.</w:t>
      </w:r>
    </w:p>
    <w:p w14:paraId="49891CE7" w14:textId="63F525AE" w:rsidR="00370426" w:rsidRPr="00CD7924" w:rsidRDefault="00602892" w:rsidP="005A25EB">
      <w:pPr>
        <w:tabs>
          <w:tab w:val="left" w:pos="851"/>
        </w:tabs>
        <w:spacing w:before="120" w:after="120"/>
        <w:ind w:firstLine="567"/>
        <w:rPr>
          <w:szCs w:val="28"/>
          <w:lang w:val="nl-NL"/>
        </w:rPr>
      </w:pPr>
      <w:r w:rsidRPr="00CD7924">
        <w:rPr>
          <w:szCs w:val="28"/>
          <w:lang w:val="nl-NL"/>
        </w:rPr>
        <w:t>- Tiến độ thực hiện dự án: Điều chỉnh “Từ năm 2022” thành “Từ năm 2023”.</w:t>
      </w:r>
    </w:p>
    <w:p w14:paraId="4EB37B59" w14:textId="2784877B" w:rsidR="00602892" w:rsidRPr="00CD7924" w:rsidRDefault="00602892" w:rsidP="00602892">
      <w:pPr>
        <w:tabs>
          <w:tab w:val="left" w:pos="851"/>
        </w:tabs>
        <w:spacing w:before="120" w:after="120"/>
        <w:ind w:firstLine="567"/>
        <w:jc w:val="center"/>
        <w:rPr>
          <w:szCs w:val="28"/>
          <w:lang w:val="nl-NL"/>
        </w:rPr>
      </w:pPr>
      <w:r w:rsidRPr="00CD7924">
        <w:rPr>
          <w:szCs w:val="28"/>
          <w:lang w:val="nl-NL"/>
        </w:rPr>
        <w:t>(</w:t>
      </w:r>
      <w:r w:rsidRPr="00CD7924">
        <w:rPr>
          <w:i/>
          <w:szCs w:val="28"/>
          <w:lang w:val="nl-NL"/>
        </w:rPr>
        <w:t>chi tiết nội dung điều chỉnh tại phụ lục kèm theo</w:t>
      </w:r>
      <w:r w:rsidRPr="00CD7924">
        <w:rPr>
          <w:szCs w:val="28"/>
          <w:lang w:val="nl-NL"/>
        </w:rPr>
        <w:t>)</w:t>
      </w:r>
    </w:p>
    <w:p w14:paraId="3D6B7333" w14:textId="77777777" w:rsidR="00B35714" w:rsidRDefault="00602892" w:rsidP="00B35714">
      <w:pPr>
        <w:spacing w:before="60" w:after="60" w:line="264" w:lineRule="auto"/>
        <w:ind w:firstLine="680"/>
        <w:rPr>
          <w:szCs w:val="28"/>
          <w:lang w:val="nl-NL"/>
        </w:rPr>
      </w:pPr>
      <w:r w:rsidRPr="00B35714">
        <w:rPr>
          <w:b/>
          <w:spacing w:val="-4"/>
          <w:szCs w:val="28"/>
          <w:lang w:val="nl-NL"/>
        </w:rPr>
        <w:t>b)</w:t>
      </w:r>
      <w:r w:rsidR="00280326" w:rsidRPr="00B35714">
        <w:rPr>
          <w:b/>
          <w:spacing w:val="-4"/>
          <w:szCs w:val="28"/>
          <w:lang w:val="nl-NL"/>
        </w:rPr>
        <w:t xml:space="preserve"> Các nội dung khác:</w:t>
      </w:r>
      <w:r w:rsidR="00280326" w:rsidRPr="00CB6DD9">
        <w:rPr>
          <w:spacing w:val="-4"/>
          <w:szCs w:val="28"/>
          <w:lang w:val="nl-NL"/>
        </w:rPr>
        <w:t xml:space="preserve"> </w:t>
      </w:r>
      <w:r w:rsidR="00D54284" w:rsidRPr="00D54284">
        <w:rPr>
          <w:spacing w:val="-4"/>
          <w:szCs w:val="28"/>
          <w:lang w:val="nl-NL"/>
        </w:rPr>
        <w:t>Thực hiện theo Nghị quyết số 35/NQ-HĐND ngày 29 tháng 4 năm 2021 của Hội đồng nhân dân tỉnh</w:t>
      </w:r>
      <w:r w:rsidR="00280326" w:rsidRPr="00CD7924">
        <w:rPr>
          <w:spacing w:val="-4"/>
          <w:szCs w:val="28"/>
          <w:lang w:val="nl-NL"/>
        </w:rPr>
        <w:t>.</w:t>
      </w:r>
    </w:p>
    <w:p w14:paraId="6723A08C" w14:textId="76DDD87D" w:rsidR="00A17397" w:rsidRPr="00B35714" w:rsidRDefault="00B35714" w:rsidP="00B35714">
      <w:pPr>
        <w:spacing w:before="60" w:after="60" w:line="264" w:lineRule="auto"/>
        <w:ind w:firstLine="680"/>
        <w:rPr>
          <w:b/>
          <w:szCs w:val="28"/>
          <w:lang w:val="nl-NL"/>
        </w:rPr>
      </w:pPr>
      <w:r w:rsidRPr="00B35714">
        <w:rPr>
          <w:b/>
          <w:szCs w:val="28"/>
          <w:lang w:val="nl-NL"/>
        </w:rPr>
        <w:t xml:space="preserve">3. </w:t>
      </w:r>
      <w:r w:rsidR="00295C47" w:rsidRPr="00CD7924">
        <w:rPr>
          <w:b/>
          <w:szCs w:val="28"/>
          <w:lang w:val="nl-NL"/>
        </w:rPr>
        <w:t>Về khả năng cân đối nguồn vốn:</w:t>
      </w:r>
      <w:r w:rsidR="002217C3" w:rsidRPr="00CD7924">
        <w:rPr>
          <w:b/>
          <w:szCs w:val="28"/>
          <w:lang w:val="nl-NL"/>
        </w:rPr>
        <w:t xml:space="preserve"> </w:t>
      </w:r>
    </w:p>
    <w:p w14:paraId="21ECDFFB" w14:textId="173218FA" w:rsidR="00175535" w:rsidRPr="00CD7924" w:rsidRDefault="00175535" w:rsidP="00996907">
      <w:pPr>
        <w:spacing w:before="60" w:after="60" w:line="264" w:lineRule="auto"/>
        <w:ind w:firstLine="680"/>
        <w:rPr>
          <w:szCs w:val="28"/>
          <w:lang w:val="nl-NL"/>
        </w:rPr>
      </w:pPr>
      <w:r w:rsidRPr="00CD7924">
        <w:rPr>
          <w:szCs w:val="28"/>
          <w:lang w:val="nl-NL"/>
        </w:rPr>
        <w:t xml:space="preserve">- Nguồn ngân sách Trung ương: Trong Kế hoạch đầu tư công trung hạn giai đoạn 2021-2025 nguồn ngân sách trung ương tỉnh Kon Tum, dự án được bố trí 100.000 triệu đồng từ nguồn ngân sách trung ương hỗ trợ cho địa phương và dự kiến thời gian hoàn thành sau năm 2025. Đối với nguồn vốn ngân sách trung </w:t>
      </w:r>
      <w:r w:rsidRPr="00CD7924">
        <w:rPr>
          <w:szCs w:val="28"/>
          <w:lang w:val="nl-NL"/>
        </w:rPr>
        <w:lastRenderedPageBreak/>
        <w:t>ương còn thiếu (</w:t>
      </w:r>
      <w:r w:rsidRPr="00CD7924">
        <w:rPr>
          <w:i/>
          <w:iCs/>
          <w:szCs w:val="28"/>
          <w:lang w:val="nl-NL"/>
        </w:rPr>
        <w:t>khoảng 66.500 triệu đồng</w:t>
      </w:r>
      <w:r w:rsidRPr="00CD7924">
        <w:rPr>
          <w:szCs w:val="28"/>
          <w:lang w:val="nl-NL"/>
        </w:rPr>
        <w:t xml:space="preserve">), Ủy ban nhân dân tỉnh sẽ chỉ đạo </w:t>
      </w:r>
      <w:r w:rsidR="00D00E93" w:rsidRPr="00CD7924">
        <w:rPr>
          <w:szCs w:val="28"/>
          <w:lang w:val="nl-NL"/>
        </w:rPr>
        <w:t>cơ quan chức năng rà soát,</w:t>
      </w:r>
      <w:r w:rsidRPr="00CD7924">
        <w:rPr>
          <w:szCs w:val="28"/>
          <w:lang w:val="nl-NL"/>
        </w:rPr>
        <w:t xml:space="preserve"> trình cấp có thẩm quyền bố trí từ nguồn ngân sách trung ương giai đoạn 2026-2030 theo quy định.</w:t>
      </w:r>
    </w:p>
    <w:p w14:paraId="5CD310B8" w14:textId="17596678" w:rsidR="0059209F" w:rsidRPr="00CD7924" w:rsidRDefault="00175535" w:rsidP="00996907">
      <w:pPr>
        <w:spacing w:before="60" w:after="60" w:line="264" w:lineRule="auto"/>
        <w:ind w:firstLine="680"/>
        <w:rPr>
          <w:szCs w:val="28"/>
          <w:lang w:val="nl-NL"/>
        </w:rPr>
      </w:pPr>
      <w:r w:rsidRPr="00CD7924">
        <w:rPr>
          <w:szCs w:val="28"/>
          <w:lang w:val="nl-NL"/>
        </w:rPr>
        <w:t>- Nguồn ngân sách thành phố Kon Tum (</w:t>
      </w:r>
      <w:r w:rsidRPr="00CD7924">
        <w:rPr>
          <w:i/>
          <w:iCs/>
          <w:szCs w:val="28"/>
          <w:lang w:val="nl-NL"/>
        </w:rPr>
        <w:t>khoảng 18.500 triệu đồng</w:t>
      </w:r>
      <w:r w:rsidRPr="00CD7924">
        <w:rPr>
          <w:szCs w:val="28"/>
          <w:lang w:val="nl-NL"/>
        </w:rPr>
        <w:t>): Kế hoạch trung hạn giai đoạn 2021-2025, Ủy ban nhân dân thành phố Kon Tum đã bố trí 10.000 triệu đồng tại Quyết định số 4794/QĐ-UBND ngày 20 tháng 12 năm 2021. Đối với nguồn ngân sách thành phố còn lại (</w:t>
      </w:r>
      <w:r w:rsidRPr="00CD7924">
        <w:rPr>
          <w:i/>
          <w:iCs/>
          <w:szCs w:val="28"/>
          <w:lang w:val="nl-NL"/>
        </w:rPr>
        <w:t>khoảng 8.500 triệu đồng</w:t>
      </w:r>
      <w:r w:rsidRPr="00CD7924">
        <w:rPr>
          <w:szCs w:val="28"/>
          <w:lang w:val="nl-NL"/>
        </w:rPr>
        <w:t>), Ủy ban nhân dân thành phố Kon Tum cam kết trình Hội đồng nhân dân thành phố Kon Tum bổ sung vào kế hoạch trung hạn giai đoạn 2021-2025 bố trí đủ vốn để thực hiện dự án đúng tiến độ tại Công văn số 969/UBND-TH ngày 18 tháng 3 năm 2022</w:t>
      </w:r>
      <w:r w:rsidR="00053839" w:rsidRPr="00CD7924">
        <w:rPr>
          <w:szCs w:val="28"/>
          <w:lang w:val="nl-NL"/>
        </w:rPr>
        <w:t xml:space="preserve">. </w:t>
      </w:r>
    </w:p>
    <w:p w14:paraId="218A8787" w14:textId="3FB10FBE" w:rsidR="00295C47" w:rsidRPr="00CD7924" w:rsidRDefault="0059209F" w:rsidP="00B35714">
      <w:pPr>
        <w:widowControl w:val="0"/>
        <w:tabs>
          <w:tab w:val="left" w:pos="851"/>
        </w:tabs>
        <w:spacing w:before="60" w:after="60" w:line="264" w:lineRule="auto"/>
        <w:ind w:firstLine="680"/>
        <w:rPr>
          <w:szCs w:val="28"/>
          <w:lang w:val="nl-NL"/>
        </w:rPr>
      </w:pPr>
      <w:r w:rsidRPr="00CD7924">
        <w:rPr>
          <w:szCs w:val="28"/>
          <w:lang w:val="nl-NL"/>
        </w:rPr>
        <w:t xml:space="preserve">Ủy ban nhân dân tỉnh kính trình Hội đồng nhân dân tỉnh Khóa XII, Kỳ họp </w:t>
      </w:r>
      <w:r w:rsidR="00E83992" w:rsidRPr="00CD7924">
        <w:rPr>
          <w:szCs w:val="28"/>
          <w:lang w:val="nl-NL"/>
        </w:rPr>
        <w:t>thứ 3</w:t>
      </w:r>
      <w:r w:rsidRPr="00CD7924">
        <w:rPr>
          <w:szCs w:val="28"/>
          <w:lang w:val="nl-NL"/>
        </w:rPr>
        <w:t xml:space="preserve"> xem xét, điều chỉnh chủ trương đầu tư của dự án </w:t>
      </w:r>
      <w:r w:rsidR="00790F4B" w:rsidRPr="00CD7924">
        <w:rPr>
          <w:szCs w:val="28"/>
          <w:lang w:val="nl-NL"/>
        </w:rPr>
        <w:t xml:space="preserve">Hệ thống thoát nước, vỉa hè các tuyến đường nội thành, thành phố Kon Tum </w:t>
      </w:r>
      <w:r w:rsidRPr="00CD7924">
        <w:rPr>
          <w:szCs w:val="28"/>
          <w:lang w:val="nl-NL"/>
        </w:rPr>
        <w:t>để có cơ sở tri</w:t>
      </w:r>
      <w:r w:rsidR="00B35714" w:rsidRPr="00CD7924">
        <w:rPr>
          <w:szCs w:val="28"/>
          <w:lang w:val="nl-NL"/>
        </w:rPr>
        <w:t>ển khai thực hiện theo quy định</w:t>
      </w:r>
      <w:r w:rsidR="004D5153" w:rsidRPr="00CD7924">
        <w:rPr>
          <w:szCs w:val="28"/>
          <w:lang w:val="nl-NL"/>
        </w:rPr>
        <w:t xml:space="preserve"> </w:t>
      </w:r>
      <w:r w:rsidR="00295C47" w:rsidRPr="00CD7924">
        <w:rPr>
          <w:szCs w:val="28"/>
          <w:lang w:val="nl-NL"/>
        </w:rPr>
        <w:t>(</w:t>
      </w:r>
      <w:r w:rsidR="00924CA1" w:rsidRPr="00CD7924">
        <w:rPr>
          <w:i/>
          <w:szCs w:val="28"/>
          <w:lang w:val="nl-NL"/>
        </w:rPr>
        <w:t>C</w:t>
      </w:r>
      <w:r w:rsidR="00295C47" w:rsidRPr="00CD7924">
        <w:rPr>
          <w:i/>
          <w:szCs w:val="28"/>
          <w:lang w:val="nl-NL"/>
        </w:rPr>
        <w:t>ó dự thảo Nghị quyết của Hội đồng nhân dân tỉnh và các văn bản liên quan kèm theo</w:t>
      </w:r>
      <w:r w:rsidR="00E1495F" w:rsidRPr="00CD7924">
        <w:rPr>
          <w:i/>
          <w:szCs w:val="28"/>
          <w:vertAlign w:val="superscript"/>
          <w:lang w:val="nl-NL"/>
        </w:rPr>
        <w:t>(</w:t>
      </w:r>
      <w:r w:rsidR="00974B87">
        <w:rPr>
          <w:rStyle w:val="FootnoteReference"/>
          <w:i/>
          <w:szCs w:val="28"/>
        </w:rPr>
        <w:footnoteReference w:id="2"/>
      </w:r>
      <w:r w:rsidR="00E1495F" w:rsidRPr="00CD7924">
        <w:rPr>
          <w:i/>
          <w:szCs w:val="28"/>
          <w:vertAlign w:val="superscript"/>
          <w:lang w:val="nl-NL"/>
        </w:rPr>
        <w:t>)</w:t>
      </w:r>
      <w:r w:rsidR="00295C47" w:rsidRPr="00CD7924">
        <w:rPr>
          <w:szCs w:val="28"/>
          <w:lang w:val="nl-NL"/>
        </w:rPr>
        <w:t>)./.</w:t>
      </w:r>
    </w:p>
    <w:tbl>
      <w:tblPr>
        <w:tblW w:w="9072" w:type="dxa"/>
        <w:tblInd w:w="108" w:type="dxa"/>
        <w:tblLook w:val="0000" w:firstRow="0" w:lastRow="0" w:firstColumn="0" w:lastColumn="0" w:noHBand="0" w:noVBand="0"/>
      </w:tblPr>
      <w:tblGrid>
        <w:gridCol w:w="5387"/>
        <w:gridCol w:w="3685"/>
      </w:tblGrid>
      <w:tr w:rsidR="0054519F" w14:paraId="74663A80" w14:textId="77777777" w:rsidTr="00B35714">
        <w:trPr>
          <w:trHeight w:val="2719"/>
        </w:trPr>
        <w:tc>
          <w:tcPr>
            <w:tcW w:w="5387" w:type="dxa"/>
          </w:tcPr>
          <w:p w14:paraId="5A7E06EE" w14:textId="77777777" w:rsidR="0054519F" w:rsidRPr="00CD7924" w:rsidRDefault="0054519F">
            <w:pPr>
              <w:rPr>
                <w:i/>
                <w:iCs/>
                <w:color w:val="000000"/>
                <w:lang w:val="nl-NL"/>
              </w:rPr>
            </w:pPr>
            <w:r w:rsidRPr="00CD7924">
              <w:rPr>
                <w:b/>
                <w:bCs/>
                <w:i/>
                <w:iCs/>
                <w:color w:val="000000"/>
                <w:sz w:val="24"/>
                <w:lang w:val="nl-NL"/>
              </w:rPr>
              <w:t>Nơi nhận:</w:t>
            </w:r>
          </w:p>
          <w:p w14:paraId="2FDCBDD7" w14:textId="77777777" w:rsidR="0054519F" w:rsidRPr="00CD7924" w:rsidRDefault="0054519F" w:rsidP="002217C3">
            <w:pPr>
              <w:rPr>
                <w:color w:val="000000"/>
                <w:sz w:val="22"/>
                <w:szCs w:val="22"/>
                <w:lang w:val="nl-NL"/>
              </w:rPr>
            </w:pPr>
            <w:r w:rsidRPr="00CD7924">
              <w:rPr>
                <w:color w:val="000000"/>
                <w:sz w:val="22"/>
                <w:szCs w:val="22"/>
                <w:lang w:val="nl-NL"/>
              </w:rPr>
              <w:t>- Như trên;</w:t>
            </w:r>
          </w:p>
          <w:p w14:paraId="426BB1BA" w14:textId="77777777" w:rsidR="0054519F" w:rsidRPr="00CD7924" w:rsidRDefault="0054519F" w:rsidP="002217C3">
            <w:pPr>
              <w:rPr>
                <w:color w:val="000000"/>
                <w:sz w:val="22"/>
                <w:szCs w:val="22"/>
                <w:lang w:val="nl-NL"/>
              </w:rPr>
            </w:pPr>
            <w:r w:rsidRPr="00CD7924">
              <w:rPr>
                <w:color w:val="000000"/>
                <w:sz w:val="22"/>
                <w:szCs w:val="22"/>
                <w:lang w:val="nl-NL"/>
              </w:rPr>
              <w:t>- Thường trực Tỉnh ủy (b/c);</w:t>
            </w:r>
          </w:p>
          <w:p w14:paraId="388E177E" w14:textId="5BB6AEBB" w:rsidR="0054519F" w:rsidRPr="00CD7924" w:rsidRDefault="00B35714" w:rsidP="002217C3">
            <w:pPr>
              <w:rPr>
                <w:color w:val="000000"/>
                <w:sz w:val="22"/>
                <w:szCs w:val="22"/>
                <w:lang w:val="nl-NL"/>
              </w:rPr>
            </w:pPr>
            <w:r w:rsidRPr="00CD7924">
              <w:rPr>
                <w:color w:val="000000"/>
                <w:sz w:val="22"/>
                <w:szCs w:val="22"/>
                <w:lang w:val="nl-NL"/>
              </w:rPr>
              <w:t xml:space="preserve">- Chủ tịch và </w:t>
            </w:r>
            <w:r w:rsidR="0054519F" w:rsidRPr="00CD7924">
              <w:rPr>
                <w:color w:val="000000"/>
                <w:sz w:val="22"/>
                <w:szCs w:val="22"/>
                <w:lang w:val="nl-NL"/>
              </w:rPr>
              <w:t>các PCT UBND tỉnh;</w:t>
            </w:r>
          </w:p>
          <w:p w14:paraId="3E281E55" w14:textId="77777777" w:rsidR="0054519F" w:rsidRPr="00CD7924" w:rsidRDefault="0054519F" w:rsidP="002217C3">
            <w:pPr>
              <w:rPr>
                <w:color w:val="000000"/>
                <w:sz w:val="22"/>
                <w:szCs w:val="22"/>
                <w:lang w:val="nl-NL"/>
              </w:rPr>
            </w:pPr>
            <w:r w:rsidRPr="00CD7924">
              <w:rPr>
                <w:color w:val="000000"/>
                <w:sz w:val="22"/>
                <w:szCs w:val="22"/>
                <w:lang w:val="nl-NL"/>
              </w:rPr>
              <w:t>- Sở Kế hoạch và Đầu tư;</w:t>
            </w:r>
          </w:p>
          <w:p w14:paraId="24206963" w14:textId="2226A3A6" w:rsidR="0054519F" w:rsidRPr="008B1557" w:rsidRDefault="0054519F" w:rsidP="002217C3">
            <w:pPr>
              <w:rPr>
                <w:color w:val="000000"/>
                <w:sz w:val="22"/>
                <w:szCs w:val="22"/>
              </w:rPr>
            </w:pPr>
            <w:r w:rsidRPr="008B1557">
              <w:rPr>
                <w:color w:val="000000"/>
                <w:sz w:val="22"/>
                <w:szCs w:val="22"/>
              </w:rPr>
              <w:t>-</w:t>
            </w:r>
            <w:r w:rsidR="00927CB7">
              <w:rPr>
                <w:color w:val="000000"/>
                <w:sz w:val="22"/>
                <w:szCs w:val="22"/>
              </w:rPr>
              <w:t xml:space="preserve"> </w:t>
            </w:r>
            <w:r w:rsidR="00790F4B">
              <w:rPr>
                <w:color w:val="000000"/>
                <w:sz w:val="22"/>
                <w:szCs w:val="22"/>
              </w:rPr>
              <w:t>UBND thành phố Kon Tum</w:t>
            </w:r>
            <w:r w:rsidRPr="008B1557">
              <w:rPr>
                <w:color w:val="000000"/>
                <w:sz w:val="22"/>
                <w:szCs w:val="22"/>
              </w:rPr>
              <w:t>;</w:t>
            </w:r>
          </w:p>
          <w:p w14:paraId="0A77D1E3" w14:textId="7E958ED6" w:rsidR="0054519F" w:rsidRDefault="00C508CA" w:rsidP="002217C3">
            <w:pPr>
              <w:rPr>
                <w:i/>
                <w:iCs/>
                <w:color w:val="000000"/>
              </w:rPr>
            </w:pPr>
            <w:r w:rsidRPr="008B1557">
              <w:rPr>
                <w:color w:val="000000"/>
                <w:sz w:val="22"/>
                <w:szCs w:val="22"/>
              </w:rPr>
              <w:t>- Lưu: VT,</w:t>
            </w:r>
            <w:r w:rsidR="002217C3" w:rsidRPr="008B1557">
              <w:rPr>
                <w:color w:val="000000"/>
                <w:sz w:val="22"/>
                <w:szCs w:val="22"/>
              </w:rPr>
              <w:t xml:space="preserve"> </w:t>
            </w:r>
            <w:r w:rsidR="004575A1" w:rsidRPr="008B1557">
              <w:rPr>
                <w:color w:val="000000"/>
                <w:sz w:val="22"/>
                <w:szCs w:val="22"/>
              </w:rPr>
              <w:t>HT</w:t>
            </w:r>
            <w:r w:rsidRPr="008B1557">
              <w:rPr>
                <w:color w:val="000000"/>
                <w:sz w:val="22"/>
                <w:szCs w:val="22"/>
              </w:rPr>
              <w:t>KT</w:t>
            </w:r>
            <w:r w:rsidR="004575A1" w:rsidRPr="008B1557">
              <w:rPr>
                <w:color w:val="000000"/>
                <w:sz w:val="22"/>
                <w:szCs w:val="22"/>
              </w:rPr>
              <w:t xml:space="preserve">, </w:t>
            </w:r>
            <w:r w:rsidR="00B35714">
              <w:rPr>
                <w:color w:val="000000"/>
                <w:sz w:val="22"/>
                <w:szCs w:val="22"/>
              </w:rPr>
              <w:t>KTTH.</w:t>
            </w:r>
            <w:r w:rsidR="0054519F" w:rsidRPr="00B35714">
              <w:rPr>
                <w:color w:val="000000"/>
                <w:sz w:val="22"/>
                <w:szCs w:val="22"/>
                <w:vertAlign w:val="subscript"/>
              </w:rPr>
              <w:t>PHD.</w:t>
            </w:r>
          </w:p>
        </w:tc>
        <w:tc>
          <w:tcPr>
            <w:tcW w:w="3685" w:type="dxa"/>
          </w:tcPr>
          <w:p w14:paraId="31BB998D" w14:textId="77777777" w:rsidR="0054519F" w:rsidRPr="00B35714" w:rsidRDefault="0054519F">
            <w:pPr>
              <w:pStyle w:val="Heading1"/>
              <w:spacing w:before="0" w:after="0"/>
              <w:jc w:val="center"/>
              <w:rPr>
                <w:color w:val="000000"/>
                <w:szCs w:val="28"/>
              </w:rPr>
            </w:pPr>
            <w:proofErr w:type="gramStart"/>
            <w:r w:rsidRPr="00B35714">
              <w:rPr>
                <w:color w:val="000000"/>
                <w:szCs w:val="28"/>
              </w:rPr>
              <w:t>TM.</w:t>
            </w:r>
            <w:proofErr w:type="gramEnd"/>
            <w:r w:rsidRPr="00B35714">
              <w:rPr>
                <w:color w:val="000000"/>
                <w:szCs w:val="28"/>
              </w:rPr>
              <w:t xml:space="preserve"> ỦY BAN NHÂN DÂN</w:t>
            </w:r>
          </w:p>
          <w:p w14:paraId="04FE96E2" w14:textId="77777777" w:rsidR="0054519F" w:rsidRPr="00B35714" w:rsidRDefault="0054519F">
            <w:pPr>
              <w:pStyle w:val="Heading1"/>
              <w:spacing w:before="0" w:after="0"/>
              <w:jc w:val="center"/>
              <w:rPr>
                <w:color w:val="000000"/>
                <w:szCs w:val="28"/>
              </w:rPr>
            </w:pPr>
            <w:r w:rsidRPr="00B35714">
              <w:rPr>
                <w:color w:val="000000"/>
                <w:szCs w:val="28"/>
              </w:rPr>
              <w:t>CHỦ TỊCH</w:t>
            </w:r>
          </w:p>
          <w:p w14:paraId="35EF1BB7" w14:textId="77777777" w:rsidR="0054519F" w:rsidRPr="00B35714" w:rsidRDefault="0054519F" w:rsidP="00F20AA0">
            <w:pPr>
              <w:jc w:val="center"/>
              <w:rPr>
                <w:color w:val="000000"/>
                <w:szCs w:val="28"/>
              </w:rPr>
            </w:pPr>
          </w:p>
          <w:p w14:paraId="57D8ED78" w14:textId="17E258C8" w:rsidR="00B35714" w:rsidRPr="00B35714" w:rsidRDefault="00CD7924" w:rsidP="00F20AA0">
            <w:pPr>
              <w:jc w:val="center"/>
              <w:rPr>
                <w:color w:val="000000"/>
                <w:szCs w:val="28"/>
              </w:rPr>
            </w:pPr>
            <w:r>
              <w:rPr>
                <w:color w:val="000000"/>
                <w:szCs w:val="28"/>
              </w:rPr>
              <w:t>Đã ký</w:t>
            </w:r>
            <w:bookmarkStart w:id="1" w:name="_GoBack"/>
            <w:bookmarkEnd w:id="1"/>
          </w:p>
          <w:p w14:paraId="260CDC74" w14:textId="77777777" w:rsidR="004F5AF6" w:rsidRPr="00B35714" w:rsidRDefault="004F5AF6" w:rsidP="00F20AA0">
            <w:pPr>
              <w:jc w:val="center"/>
              <w:rPr>
                <w:color w:val="000000"/>
                <w:szCs w:val="28"/>
              </w:rPr>
            </w:pPr>
          </w:p>
          <w:p w14:paraId="5672279B" w14:textId="77777777" w:rsidR="0054519F" w:rsidRPr="0054519F" w:rsidRDefault="0054519F" w:rsidP="00F20AA0">
            <w:pPr>
              <w:jc w:val="center"/>
              <w:rPr>
                <w:b/>
                <w:color w:val="000000"/>
                <w:szCs w:val="28"/>
              </w:rPr>
            </w:pPr>
            <w:r w:rsidRPr="00B35714">
              <w:rPr>
                <w:b/>
                <w:color w:val="000000"/>
                <w:szCs w:val="28"/>
              </w:rPr>
              <w:t>Lê Ngọc Tuấn</w:t>
            </w:r>
          </w:p>
        </w:tc>
      </w:tr>
    </w:tbl>
    <w:p w14:paraId="10DF2E7F" w14:textId="4E192394" w:rsidR="00B35714" w:rsidRDefault="00B35714"/>
    <w:p w14:paraId="3576B0D2" w14:textId="6DFED8FF" w:rsidR="00B35714" w:rsidRDefault="00B35714">
      <w:pPr>
        <w:jc w:val="left"/>
      </w:pPr>
    </w:p>
    <w:sectPr w:rsidR="00B35714" w:rsidSect="00190935">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F6701" w14:textId="77777777" w:rsidR="00751E5E" w:rsidRDefault="00751E5E">
      <w:r>
        <w:separator/>
      </w:r>
    </w:p>
  </w:endnote>
  <w:endnote w:type="continuationSeparator" w:id="0">
    <w:p w14:paraId="1F236BFD" w14:textId="77777777" w:rsidR="00751E5E" w:rsidRDefault="0075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149" w14:textId="77777777" w:rsidR="00295C47" w:rsidRDefault="00295C47">
    <w:pPr>
      <w:pStyle w:val="Footer"/>
      <w:jc w:val="right"/>
      <w:rPr>
        <w:sz w:val="26"/>
        <w:szCs w:val="26"/>
      </w:rPr>
    </w:pPr>
  </w:p>
  <w:p w14:paraId="71D57716" w14:textId="77777777" w:rsidR="00295C47" w:rsidRDefault="0029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B521" w14:textId="77777777" w:rsidR="00751E5E" w:rsidRDefault="00751E5E">
      <w:r>
        <w:separator/>
      </w:r>
    </w:p>
  </w:footnote>
  <w:footnote w:type="continuationSeparator" w:id="0">
    <w:p w14:paraId="3DC4FE88" w14:textId="77777777" w:rsidR="00751E5E" w:rsidRDefault="00751E5E">
      <w:r>
        <w:continuationSeparator/>
      </w:r>
    </w:p>
  </w:footnote>
  <w:footnote w:id="1">
    <w:p w14:paraId="360DF205" w14:textId="6BF47404" w:rsidR="00834975" w:rsidRPr="006B1FE8" w:rsidRDefault="001A254F" w:rsidP="001A254F">
      <w:pPr>
        <w:pStyle w:val="FootnoteText"/>
        <w:rPr>
          <w:sz w:val="18"/>
          <w:szCs w:val="18"/>
        </w:rPr>
      </w:pPr>
      <w:r w:rsidRPr="006B1FE8">
        <w:rPr>
          <w:sz w:val="18"/>
          <w:szCs w:val="18"/>
          <w:vertAlign w:val="superscript"/>
        </w:rPr>
        <w:t>(</w:t>
      </w:r>
      <w:r w:rsidR="00834975" w:rsidRPr="006B1FE8">
        <w:rPr>
          <w:rStyle w:val="FootnoteReference"/>
          <w:sz w:val="18"/>
          <w:szCs w:val="18"/>
        </w:rPr>
        <w:footnoteRef/>
      </w:r>
      <w:r w:rsidRPr="006B1FE8">
        <w:rPr>
          <w:sz w:val="18"/>
          <w:szCs w:val="18"/>
          <w:vertAlign w:val="superscript"/>
        </w:rPr>
        <w:t>)</w:t>
      </w:r>
      <w:r w:rsidR="00834975" w:rsidRPr="006B1FE8">
        <w:rPr>
          <w:sz w:val="18"/>
          <w:szCs w:val="18"/>
        </w:rPr>
        <w:t xml:space="preserve"> </w:t>
      </w:r>
      <w:r w:rsidR="00EF263D" w:rsidRPr="006B1FE8">
        <w:rPr>
          <w:bCs/>
          <w:sz w:val="18"/>
          <w:szCs w:val="18"/>
          <w:lang w:val="nl-NL"/>
        </w:rPr>
        <w:t>Đường Ngô Quyền (</w:t>
      </w:r>
      <w:r w:rsidR="00EF263D" w:rsidRPr="006B1FE8">
        <w:rPr>
          <w:bCs/>
          <w:i/>
          <w:iCs/>
          <w:sz w:val="18"/>
          <w:szCs w:val="18"/>
          <w:lang w:val="nl-NL"/>
        </w:rPr>
        <w:t>đoạn Phan Đình Phùng - Trần Phú</w:t>
      </w:r>
      <w:r w:rsidR="00EF263D" w:rsidRPr="006B1FE8">
        <w:rPr>
          <w:bCs/>
          <w:sz w:val="18"/>
          <w:szCs w:val="18"/>
          <w:lang w:val="nl-NL"/>
        </w:rPr>
        <w:t xml:space="preserve">): </w:t>
      </w:r>
      <w:r w:rsidRPr="006B1FE8">
        <w:rPr>
          <w:sz w:val="18"/>
          <w:szCs w:val="18"/>
        </w:rPr>
        <w:t>Đoạn từ Phan Đình Phùng - Nguyễn Bỉnh Khiêm đã được Tập đoàn Vin Group đầu tư, đoạn Nguyễn Bỉnh Khiêm - Lê Hồng Phong đã được Hội đồng nhân dân thành phố Kon Tum phê duyệt chủ trương đầu tư tại Nghị quyết số 135/NQ-HĐND ngày 11 tháng 11 năm 2020</w:t>
      </w:r>
      <w:r w:rsidR="00701D7A" w:rsidRPr="006B1FE8">
        <w:rPr>
          <w:sz w:val="18"/>
          <w:szCs w:val="18"/>
        </w:rPr>
        <w:t xml:space="preserve"> (</w:t>
      </w:r>
      <w:r w:rsidR="00701D7A" w:rsidRPr="006B1FE8">
        <w:rPr>
          <w:i/>
          <w:iCs/>
          <w:sz w:val="18"/>
          <w:szCs w:val="18"/>
        </w:rPr>
        <w:t>với chi phí đầu tư đoạn tuyến này khoảng 1</w:t>
      </w:r>
      <w:proofErr w:type="gramStart"/>
      <w:r w:rsidR="00701D7A" w:rsidRPr="006B1FE8">
        <w:rPr>
          <w:i/>
          <w:iCs/>
          <w:sz w:val="18"/>
          <w:szCs w:val="18"/>
        </w:rPr>
        <w:t>,43</w:t>
      </w:r>
      <w:proofErr w:type="gramEnd"/>
      <w:r w:rsidR="00701D7A" w:rsidRPr="006B1FE8">
        <w:rPr>
          <w:i/>
          <w:iCs/>
          <w:sz w:val="18"/>
          <w:szCs w:val="18"/>
        </w:rPr>
        <w:t xml:space="preserve"> tỷ đồng</w:t>
      </w:r>
      <w:r w:rsidR="00701D7A" w:rsidRPr="006B1FE8">
        <w:rPr>
          <w:sz w:val="18"/>
          <w:szCs w:val="18"/>
        </w:rPr>
        <w:t>)</w:t>
      </w:r>
      <w:r w:rsidRPr="006B1FE8">
        <w:rPr>
          <w:sz w:val="18"/>
          <w:szCs w:val="18"/>
        </w:rPr>
        <w:t>.</w:t>
      </w:r>
    </w:p>
  </w:footnote>
  <w:footnote w:id="2">
    <w:p w14:paraId="03D8E815" w14:textId="771416C8" w:rsidR="00974B87" w:rsidRPr="006B1FE8" w:rsidRDefault="00974B87" w:rsidP="00974B87">
      <w:pPr>
        <w:pStyle w:val="FootnoteText"/>
        <w:rPr>
          <w:sz w:val="18"/>
          <w:szCs w:val="18"/>
        </w:rPr>
      </w:pPr>
      <w:r w:rsidRPr="006B1FE8">
        <w:rPr>
          <w:sz w:val="18"/>
          <w:szCs w:val="18"/>
          <w:vertAlign w:val="superscript"/>
        </w:rPr>
        <w:t>(</w:t>
      </w:r>
      <w:r w:rsidRPr="006B1FE8">
        <w:rPr>
          <w:rStyle w:val="FootnoteReference"/>
          <w:sz w:val="18"/>
          <w:szCs w:val="18"/>
        </w:rPr>
        <w:footnoteRef/>
      </w:r>
      <w:r w:rsidRPr="006B1FE8">
        <w:rPr>
          <w:sz w:val="18"/>
          <w:szCs w:val="18"/>
          <w:vertAlign w:val="superscript"/>
        </w:rPr>
        <w:t>)</w:t>
      </w:r>
      <w:r w:rsidRPr="006B1FE8">
        <w:rPr>
          <w:sz w:val="18"/>
          <w:szCs w:val="18"/>
        </w:rPr>
        <w:t xml:space="preserve"> Tài liệu kèm theo gồm:</w:t>
      </w:r>
    </w:p>
    <w:p w14:paraId="334C2AD9" w14:textId="77777777" w:rsidR="00974B87" w:rsidRPr="006B1FE8" w:rsidRDefault="00974B87" w:rsidP="00974B87">
      <w:pPr>
        <w:pStyle w:val="FootnoteText"/>
        <w:rPr>
          <w:sz w:val="18"/>
          <w:szCs w:val="18"/>
        </w:rPr>
      </w:pPr>
      <w:r w:rsidRPr="006B1FE8">
        <w:rPr>
          <w:bCs/>
          <w:iCs/>
          <w:sz w:val="18"/>
          <w:szCs w:val="18"/>
        </w:rPr>
        <w:t xml:space="preserve">- </w:t>
      </w:r>
      <w:r w:rsidRPr="006B1FE8">
        <w:rPr>
          <w:sz w:val="18"/>
          <w:szCs w:val="18"/>
        </w:rPr>
        <w:t>Tờ trình số 147/TTr-UBND ngày 17 tháng 5 năm 2022 của Ủy ban nhân dân thành phố Kon Tum về việc đề xuất điều chỉnh chủ trương đầu tư dự án Hệ thống thoát nước, vỉa hè các tuyến đường nội thành, thành phố Kon Tum.</w:t>
      </w:r>
    </w:p>
    <w:p w14:paraId="0C1489AC" w14:textId="77777777" w:rsidR="00974B87" w:rsidRPr="006B1FE8" w:rsidRDefault="00974B87" w:rsidP="00974B87">
      <w:pPr>
        <w:pStyle w:val="FootnoteText"/>
        <w:rPr>
          <w:sz w:val="18"/>
          <w:szCs w:val="18"/>
        </w:rPr>
      </w:pPr>
      <w:r w:rsidRPr="006B1FE8">
        <w:rPr>
          <w:sz w:val="18"/>
          <w:szCs w:val="18"/>
        </w:rPr>
        <w:t>- Báo cáo 453/BC-UBND ngày 17 tháng 5 năm 2022 của Ủy ban nhân dân thành phố Kon Tum về đề xuất điều chỉnh chủ trương đầu tư dự án Hệ thống thoát nước, vỉa hè các tuyến đường nội thành, thành phố Kon Tum.</w:t>
      </w:r>
    </w:p>
    <w:p w14:paraId="0AF23FDD" w14:textId="77777777" w:rsidR="00974B87" w:rsidRPr="006B1FE8" w:rsidRDefault="00974B87" w:rsidP="00974B87">
      <w:pPr>
        <w:pStyle w:val="FootnoteText"/>
        <w:rPr>
          <w:sz w:val="18"/>
          <w:szCs w:val="18"/>
        </w:rPr>
      </w:pPr>
      <w:r w:rsidRPr="006B1FE8">
        <w:rPr>
          <w:sz w:val="18"/>
          <w:szCs w:val="18"/>
        </w:rPr>
        <w:t>- Công văn số 2017/UBND-TH ngày 23 tháng 5 năm 2022 của Ủy ban nhân dân thành phố Kon Tum về việc không thay đổi tổng mức đầu tư khi điều chỉnh chủ trương đầu tư dự án: Hệ thống thoát nước, vỉa hè các tuyến đường nội thành, thành phố Kon Tum.</w:t>
      </w:r>
    </w:p>
    <w:p w14:paraId="0A88B37E" w14:textId="77777777" w:rsidR="00974B87" w:rsidRPr="006B1FE8" w:rsidRDefault="00974B87" w:rsidP="00974B87">
      <w:pPr>
        <w:pStyle w:val="FootnoteText"/>
        <w:rPr>
          <w:bCs/>
          <w:iCs/>
          <w:sz w:val="18"/>
          <w:szCs w:val="18"/>
        </w:rPr>
      </w:pPr>
      <w:r w:rsidRPr="006B1FE8">
        <w:rPr>
          <w:bCs/>
          <w:iCs/>
          <w:sz w:val="18"/>
          <w:szCs w:val="18"/>
        </w:rPr>
        <w:t>- Công văn số 732/SXD-PTĐT ngày 10 tháng 5 năm 2022 của Sở Xây dựng về tham gia ý kiến đối với điều chỉnh chủ trương đầu tư dự án: Hệ thống thoát nước, vỉa hè các tuyến đường nội thành, thành phố Kon Tum.</w:t>
      </w:r>
    </w:p>
    <w:p w14:paraId="2F74632C" w14:textId="589DCDBA" w:rsidR="00974B87" w:rsidRPr="006B1FE8" w:rsidRDefault="00974B87">
      <w:pPr>
        <w:pStyle w:val="FootnoteText"/>
        <w:rPr>
          <w:bCs/>
          <w:iCs/>
          <w:sz w:val="18"/>
          <w:szCs w:val="18"/>
        </w:rPr>
      </w:pPr>
      <w:r w:rsidRPr="006B1FE8">
        <w:rPr>
          <w:bCs/>
          <w:iCs/>
          <w:sz w:val="18"/>
          <w:szCs w:val="18"/>
        </w:rPr>
        <w:t>- Báo cáo số 115/BC-SKHĐT ngày 24 tháng 5 năm 2022 của Sở Kế hoạch và Đầu tư về Kết quả thẩm định điều chỉnh chủ trương đầu tư dự án: Hệ thống thoát nước, vỉa hè các tuyến đường nội thành, thành phố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62C0" w14:textId="73C38C54" w:rsidR="00295C47" w:rsidRDefault="00295C47">
    <w:pPr>
      <w:pStyle w:val="Header"/>
      <w:jc w:val="center"/>
    </w:pPr>
    <w:r>
      <w:fldChar w:fldCharType="begin"/>
    </w:r>
    <w:r>
      <w:instrText xml:space="preserve"> PAGE   \* MERGEFORMAT </w:instrText>
    </w:r>
    <w:r>
      <w:fldChar w:fldCharType="separate"/>
    </w:r>
    <w:r w:rsidR="00CD7924">
      <w:rPr>
        <w:noProof/>
      </w:rPr>
      <w:t>2</w:t>
    </w:r>
    <w:r>
      <w:fldChar w:fldCharType="end"/>
    </w:r>
  </w:p>
  <w:p w14:paraId="0F07176D" w14:textId="77777777" w:rsidR="00295C47" w:rsidRDefault="0029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D4"/>
    <w:multiLevelType w:val="multilevel"/>
    <w:tmpl w:val="0CC646D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36CE461A"/>
    <w:multiLevelType w:val="multilevel"/>
    <w:tmpl w:val="33386836"/>
    <w:lvl w:ilvl="0">
      <w:start w:val="1"/>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3B9F7C65"/>
    <w:multiLevelType w:val="hybridMultilevel"/>
    <w:tmpl w:val="EE48D484"/>
    <w:lvl w:ilvl="0" w:tplc="A886BAE2">
      <w:start w:val="2"/>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03E83"/>
    <w:rsid w:val="00004993"/>
    <w:rsid w:val="0000536A"/>
    <w:rsid w:val="00010FC4"/>
    <w:rsid w:val="000120BA"/>
    <w:rsid w:val="00012BCC"/>
    <w:rsid w:val="00022DC7"/>
    <w:rsid w:val="00025242"/>
    <w:rsid w:val="00030B30"/>
    <w:rsid w:val="00037F77"/>
    <w:rsid w:val="000423D2"/>
    <w:rsid w:val="000449E4"/>
    <w:rsid w:val="00053839"/>
    <w:rsid w:val="00066567"/>
    <w:rsid w:val="00074FAB"/>
    <w:rsid w:val="000753D9"/>
    <w:rsid w:val="00075538"/>
    <w:rsid w:val="00076677"/>
    <w:rsid w:val="0007705D"/>
    <w:rsid w:val="00077F4D"/>
    <w:rsid w:val="00083538"/>
    <w:rsid w:val="000908A9"/>
    <w:rsid w:val="00091420"/>
    <w:rsid w:val="000937E4"/>
    <w:rsid w:val="00095D40"/>
    <w:rsid w:val="000A0537"/>
    <w:rsid w:val="000A3A4C"/>
    <w:rsid w:val="000A5009"/>
    <w:rsid w:val="000B2940"/>
    <w:rsid w:val="000B51E3"/>
    <w:rsid w:val="000B7F19"/>
    <w:rsid w:val="000C037E"/>
    <w:rsid w:val="000C67FD"/>
    <w:rsid w:val="000C7085"/>
    <w:rsid w:val="000D1501"/>
    <w:rsid w:val="000D628C"/>
    <w:rsid w:val="000E1878"/>
    <w:rsid w:val="000E1A01"/>
    <w:rsid w:val="000E6A42"/>
    <w:rsid w:val="000E6FBF"/>
    <w:rsid w:val="000F4E77"/>
    <w:rsid w:val="000F64F7"/>
    <w:rsid w:val="000F6C4B"/>
    <w:rsid w:val="00102004"/>
    <w:rsid w:val="00102710"/>
    <w:rsid w:val="00102B63"/>
    <w:rsid w:val="00103348"/>
    <w:rsid w:val="0010359A"/>
    <w:rsid w:val="00104BC5"/>
    <w:rsid w:val="00106518"/>
    <w:rsid w:val="00106DBB"/>
    <w:rsid w:val="001128E3"/>
    <w:rsid w:val="001152EB"/>
    <w:rsid w:val="00115C1A"/>
    <w:rsid w:val="00121827"/>
    <w:rsid w:val="001262BE"/>
    <w:rsid w:val="001271FA"/>
    <w:rsid w:val="001278E1"/>
    <w:rsid w:val="0013337D"/>
    <w:rsid w:val="00135E7C"/>
    <w:rsid w:val="00136F49"/>
    <w:rsid w:val="001376D7"/>
    <w:rsid w:val="0014099D"/>
    <w:rsid w:val="00141057"/>
    <w:rsid w:val="00141A60"/>
    <w:rsid w:val="001425EB"/>
    <w:rsid w:val="00142A96"/>
    <w:rsid w:val="00145EA3"/>
    <w:rsid w:val="00151CE1"/>
    <w:rsid w:val="00155C31"/>
    <w:rsid w:val="00155E2B"/>
    <w:rsid w:val="00170F1A"/>
    <w:rsid w:val="00170F23"/>
    <w:rsid w:val="00171519"/>
    <w:rsid w:val="00175535"/>
    <w:rsid w:val="00176DDF"/>
    <w:rsid w:val="00186D8A"/>
    <w:rsid w:val="00190935"/>
    <w:rsid w:val="00193879"/>
    <w:rsid w:val="0019612A"/>
    <w:rsid w:val="001A02C0"/>
    <w:rsid w:val="001A254F"/>
    <w:rsid w:val="001A4E2D"/>
    <w:rsid w:val="001B1D49"/>
    <w:rsid w:val="001B2C81"/>
    <w:rsid w:val="001B5BAD"/>
    <w:rsid w:val="001B62CB"/>
    <w:rsid w:val="001B7B57"/>
    <w:rsid w:val="001C0A69"/>
    <w:rsid w:val="001C23C9"/>
    <w:rsid w:val="001D2CD5"/>
    <w:rsid w:val="001D2F28"/>
    <w:rsid w:val="001D3890"/>
    <w:rsid w:val="001D3E1A"/>
    <w:rsid w:val="001D46E8"/>
    <w:rsid w:val="001D7114"/>
    <w:rsid w:val="001F279D"/>
    <w:rsid w:val="001F2926"/>
    <w:rsid w:val="001F2B04"/>
    <w:rsid w:val="001F3E25"/>
    <w:rsid w:val="001F5AB9"/>
    <w:rsid w:val="001F7FB2"/>
    <w:rsid w:val="00202F71"/>
    <w:rsid w:val="002048DF"/>
    <w:rsid w:val="002077A7"/>
    <w:rsid w:val="00210320"/>
    <w:rsid w:val="002217C3"/>
    <w:rsid w:val="00223BD1"/>
    <w:rsid w:val="00232352"/>
    <w:rsid w:val="002335D0"/>
    <w:rsid w:val="00234D84"/>
    <w:rsid w:val="00241D50"/>
    <w:rsid w:val="00251DA0"/>
    <w:rsid w:val="002536FD"/>
    <w:rsid w:val="00253DF5"/>
    <w:rsid w:val="00255DB4"/>
    <w:rsid w:val="00260299"/>
    <w:rsid w:val="00261D7D"/>
    <w:rsid w:val="00263B91"/>
    <w:rsid w:val="00273575"/>
    <w:rsid w:val="00280326"/>
    <w:rsid w:val="002810F1"/>
    <w:rsid w:val="0029363B"/>
    <w:rsid w:val="002959F5"/>
    <w:rsid w:val="00295C47"/>
    <w:rsid w:val="0029789E"/>
    <w:rsid w:val="002A3D31"/>
    <w:rsid w:val="002A7F77"/>
    <w:rsid w:val="002B4CF5"/>
    <w:rsid w:val="002B4E03"/>
    <w:rsid w:val="002D7663"/>
    <w:rsid w:val="002E1394"/>
    <w:rsid w:val="002E33B6"/>
    <w:rsid w:val="002E7F5B"/>
    <w:rsid w:val="002F5E33"/>
    <w:rsid w:val="002F7A38"/>
    <w:rsid w:val="003046C8"/>
    <w:rsid w:val="00305E77"/>
    <w:rsid w:val="003067F0"/>
    <w:rsid w:val="00313E16"/>
    <w:rsid w:val="00315285"/>
    <w:rsid w:val="00320E51"/>
    <w:rsid w:val="00320F3A"/>
    <w:rsid w:val="00320FEB"/>
    <w:rsid w:val="003217F0"/>
    <w:rsid w:val="00323282"/>
    <w:rsid w:val="00324196"/>
    <w:rsid w:val="003337D3"/>
    <w:rsid w:val="0034770A"/>
    <w:rsid w:val="00347AE2"/>
    <w:rsid w:val="003510E7"/>
    <w:rsid w:val="00352BED"/>
    <w:rsid w:val="003660EC"/>
    <w:rsid w:val="00366C2D"/>
    <w:rsid w:val="00370426"/>
    <w:rsid w:val="0037199E"/>
    <w:rsid w:val="00371EB0"/>
    <w:rsid w:val="003850BB"/>
    <w:rsid w:val="00392083"/>
    <w:rsid w:val="003921A2"/>
    <w:rsid w:val="00392A78"/>
    <w:rsid w:val="003A18ED"/>
    <w:rsid w:val="003A4EDC"/>
    <w:rsid w:val="003B3B18"/>
    <w:rsid w:val="003B5E2E"/>
    <w:rsid w:val="003C0331"/>
    <w:rsid w:val="003C03CB"/>
    <w:rsid w:val="003C1E58"/>
    <w:rsid w:val="003D11B8"/>
    <w:rsid w:val="003D5E01"/>
    <w:rsid w:val="003E0E7B"/>
    <w:rsid w:val="003E1F83"/>
    <w:rsid w:val="003E57F6"/>
    <w:rsid w:val="003F11FF"/>
    <w:rsid w:val="003F311A"/>
    <w:rsid w:val="003F39BB"/>
    <w:rsid w:val="003F6D1A"/>
    <w:rsid w:val="003F6EF3"/>
    <w:rsid w:val="00401A9B"/>
    <w:rsid w:val="00402FF9"/>
    <w:rsid w:val="00404F73"/>
    <w:rsid w:val="0040641D"/>
    <w:rsid w:val="004069C8"/>
    <w:rsid w:val="00413BA1"/>
    <w:rsid w:val="004146BA"/>
    <w:rsid w:val="004226B7"/>
    <w:rsid w:val="00423008"/>
    <w:rsid w:val="00425D49"/>
    <w:rsid w:val="004348E3"/>
    <w:rsid w:val="00436C7B"/>
    <w:rsid w:val="00440B8D"/>
    <w:rsid w:val="00440E8D"/>
    <w:rsid w:val="00445488"/>
    <w:rsid w:val="00450505"/>
    <w:rsid w:val="004505C0"/>
    <w:rsid w:val="00450D93"/>
    <w:rsid w:val="0045266E"/>
    <w:rsid w:val="00454B26"/>
    <w:rsid w:val="00457132"/>
    <w:rsid w:val="004575A1"/>
    <w:rsid w:val="004672D8"/>
    <w:rsid w:val="00471944"/>
    <w:rsid w:val="00471ED0"/>
    <w:rsid w:val="00476EE0"/>
    <w:rsid w:val="00480103"/>
    <w:rsid w:val="00484BB0"/>
    <w:rsid w:val="00486166"/>
    <w:rsid w:val="0049427C"/>
    <w:rsid w:val="004A529B"/>
    <w:rsid w:val="004A674E"/>
    <w:rsid w:val="004B039C"/>
    <w:rsid w:val="004B2CFF"/>
    <w:rsid w:val="004B479B"/>
    <w:rsid w:val="004B4A80"/>
    <w:rsid w:val="004C0389"/>
    <w:rsid w:val="004C1274"/>
    <w:rsid w:val="004C3B5A"/>
    <w:rsid w:val="004C5990"/>
    <w:rsid w:val="004C7533"/>
    <w:rsid w:val="004D007F"/>
    <w:rsid w:val="004D31FA"/>
    <w:rsid w:val="004D386D"/>
    <w:rsid w:val="004D5153"/>
    <w:rsid w:val="004D6A48"/>
    <w:rsid w:val="004E2081"/>
    <w:rsid w:val="004F0684"/>
    <w:rsid w:val="004F221E"/>
    <w:rsid w:val="004F3552"/>
    <w:rsid w:val="004F5AF6"/>
    <w:rsid w:val="00501E73"/>
    <w:rsid w:val="00507E01"/>
    <w:rsid w:val="00511DC6"/>
    <w:rsid w:val="00522FD6"/>
    <w:rsid w:val="005314D3"/>
    <w:rsid w:val="00533CED"/>
    <w:rsid w:val="00534202"/>
    <w:rsid w:val="0054519F"/>
    <w:rsid w:val="00545CA8"/>
    <w:rsid w:val="0055132D"/>
    <w:rsid w:val="00552423"/>
    <w:rsid w:val="00552576"/>
    <w:rsid w:val="00562A0C"/>
    <w:rsid w:val="00572681"/>
    <w:rsid w:val="005754DA"/>
    <w:rsid w:val="0057627B"/>
    <w:rsid w:val="00577B48"/>
    <w:rsid w:val="00583466"/>
    <w:rsid w:val="005835BB"/>
    <w:rsid w:val="00585E2C"/>
    <w:rsid w:val="005872BE"/>
    <w:rsid w:val="00590200"/>
    <w:rsid w:val="0059209F"/>
    <w:rsid w:val="00593B96"/>
    <w:rsid w:val="00594ADF"/>
    <w:rsid w:val="00595936"/>
    <w:rsid w:val="005A0777"/>
    <w:rsid w:val="005A1C53"/>
    <w:rsid w:val="005A25EB"/>
    <w:rsid w:val="005B2CF7"/>
    <w:rsid w:val="005C62C4"/>
    <w:rsid w:val="005D2325"/>
    <w:rsid w:val="005D39FD"/>
    <w:rsid w:val="005D57EC"/>
    <w:rsid w:val="005E1E77"/>
    <w:rsid w:val="005E2241"/>
    <w:rsid w:val="005E4272"/>
    <w:rsid w:val="005E51FA"/>
    <w:rsid w:val="005E6062"/>
    <w:rsid w:val="005F345F"/>
    <w:rsid w:val="005F4B52"/>
    <w:rsid w:val="005F7A1C"/>
    <w:rsid w:val="006004C6"/>
    <w:rsid w:val="006016B9"/>
    <w:rsid w:val="00602892"/>
    <w:rsid w:val="00611F90"/>
    <w:rsid w:val="006126D0"/>
    <w:rsid w:val="00620D76"/>
    <w:rsid w:val="006403D3"/>
    <w:rsid w:val="00641BE7"/>
    <w:rsid w:val="00642A3F"/>
    <w:rsid w:val="00643100"/>
    <w:rsid w:val="00643F39"/>
    <w:rsid w:val="006507D4"/>
    <w:rsid w:val="00651B06"/>
    <w:rsid w:val="006529F1"/>
    <w:rsid w:val="00653EE7"/>
    <w:rsid w:val="00653F17"/>
    <w:rsid w:val="0065494A"/>
    <w:rsid w:val="00656DF3"/>
    <w:rsid w:val="00660235"/>
    <w:rsid w:val="00664002"/>
    <w:rsid w:val="006649AF"/>
    <w:rsid w:val="00664CB0"/>
    <w:rsid w:val="0067615C"/>
    <w:rsid w:val="0068055D"/>
    <w:rsid w:val="006805BA"/>
    <w:rsid w:val="006908EB"/>
    <w:rsid w:val="00693CDB"/>
    <w:rsid w:val="00694517"/>
    <w:rsid w:val="006A0634"/>
    <w:rsid w:val="006A38CC"/>
    <w:rsid w:val="006A4C3B"/>
    <w:rsid w:val="006A64EC"/>
    <w:rsid w:val="006B12A5"/>
    <w:rsid w:val="006B1CB9"/>
    <w:rsid w:val="006B1FE8"/>
    <w:rsid w:val="006B2312"/>
    <w:rsid w:val="006B2ED7"/>
    <w:rsid w:val="006C5446"/>
    <w:rsid w:val="006D754F"/>
    <w:rsid w:val="006E5B65"/>
    <w:rsid w:val="006F0348"/>
    <w:rsid w:val="006F0B5F"/>
    <w:rsid w:val="006F1617"/>
    <w:rsid w:val="006F2952"/>
    <w:rsid w:val="006F44C5"/>
    <w:rsid w:val="0070129B"/>
    <w:rsid w:val="00701D7A"/>
    <w:rsid w:val="00703DB2"/>
    <w:rsid w:val="00714C36"/>
    <w:rsid w:val="007237BA"/>
    <w:rsid w:val="00727AE2"/>
    <w:rsid w:val="007362EF"/>
    <w:rsid w:val="00736A2B"/>
    <w:rsid w:val="007441B7"/>
    <w:rsid w:val="00745520"/>
    <w:rsid w:val="00751E5E"/>
    <w:rsid w:val="00753D21"/>
    <w:rsid w:val="00755083"/>
    <w:rsid w:val="00756843"/>
    <w:rsid w:val="00757242"/>
    <w:rsid w:val="0077182D"/>
    <w:rsid w:val="00774212"/>
    <w:rsid w:val="00774711"/>
    <w:rsid w:val="0078314E"/>
    <w:rsid w:val="00785D10"/>
    <w:rsid w:val="00790F4B"/>
    <w:rsid w:val="00791A8B"/>
    <w:rsid w:val="00793553"/>
    <w:rsid w:val="00797871"/>
    <w:rsid w:val="007978E2"/>
    <w:rsid w:val="00797E25"/>
    <w:rsid w:val="007A1984"/>
    <w:rsid w:val="007A3142"/>
    <w:rsid w:val="007A36EC"/>
    <w:rsid w:val="007B0945"/>
    <w:rsid w:val="007B25AB"/>
    <w:rsid w:val="007B63BA"/>
    <w:rsid w:val="007B65CF"/>
    <w:rsid w:val="007C2CF9"/>
    <w:rsid w:val="007C583E"/>
    <w:rsid w:val="007D259A"/>
    <w:rsid w:val="007D3FF7"/>
    <w:rsid w:val="007D7908"/>
    <w:rsid w:val="007E10D3"/>
    <w:rsid w:val="007E1290"/>
    <w:rsid w:val="007E2101"/>
    <w:rsid w:val="007E282F"/>
    <w:rsid w:val="007E6F0A"/>
    <w:rsid w:val="007F1FC9"/>
    <w:rsid w:val="007F36A3"/>
    <w:rsid w:val="00801971"/>
    <w:rsid w:val="00812EA5"/>
    <w:rsid w:val="0081671F"/>
    <w:rsid w:val="008230FE"/>
    <w:rsid w:val="00827E87"/>
    <w:rsid w:val="0083020A"/>
    <w:rsid w:val="00834357"/>
    <w:rsid w:val="00834975"/>
    <w:rsid w:val="00843CB1"/>
    <w:rsid w:val="00854282"/>
    <w:rsid w:val="00854BAD"/>
    <w:rsid w:val="00855C62"/>
    <w:rsid w:val="008561AE"/>
    <w:rsid w:val="0086087E"/>
    <w:rsid w:val="00861CBB"/>
    <w:rsid w:val="00861EF9"/>
    <w:rsid w:val="0086206A"/>
    <w:rsid w:val="0086729B"/>
    <w:rsid w:val="008675B2"/>
    <w:rsid w:val="0087226C"/>
    <w:rsid w:val="00872BED"/>
    <w:rsid w:val="00874277"/>
    <w:rsid w:val="00881039"/>
    <w:rsid w:val="00881C96"/>
    <w:rsid w:val="00883265"/>
    <w:rsid w:val="0089216F"/>
    <w:rsid w:val="00893BB8"/>
    <w:rsid w:val="008A0ABF"/>
    <w:rsid w:val="008A3298"/>
    <w:rsid w:val="008A3690"/>
    <w:rsid w:val="008A6904"/>
    <w:rsid w:val="008A79BA"/>
    <w:rsid w:val="008A7EBF"/>
    <w:rsid w:val="008B1557"/>
    <w:rsid w:val="008B205A"/>
    <w:rsid w:val="008C1686"/>
    <w:rsid w:val="008C6022"/>
    <w:rsid w:val="008D06FE"/>
    <w:rsid w:val="008D0FFF"/>
    <w:rsid w:val="008E1F34"/>
    <w:rsid w:val="008E3CFF"/>
    <w:rsid w:val="008E473C"/>
    <w:rsid w:val="008F567D"/>
    <w:rsid w:val="0090136E"/>
    <w:rsid w:val="009036E6"/>
    <w:rsid w:val="00911960"/>
    <w:rsid w:val="00914BEE"/>
    <w:rsid w:val="0091796F"/>
    <w:rsid w:val="00921DB5"/>
    <w:rsid w:val="0092208E"/>
    <w:rsid w:val="00924546"/>
    <w:rsid w:val="00924CA1"/>
    <w:rsid w:val="00927346"/>
    <w:rsid w:val="00927CB7"/>
    <w:rsid w:val="00934BDA"/>
    <w:rsid w:val="009513AB"/>
    <w:rsid w:val="00956AE7"/>
    <w:rsid w:val="00960C29"/>
    <w:rsid w:val="00970A80"/>
    <w:rsid w:val="009717EA"/>
    <w:rsid w:val="00973158"/>
    <w:rsid w:val="00973ED3"/>
    <w:rsid w:val="00974B87"/>
    <w:rsid w:val="0097560A"/>
    <w:rsid w:val="00985988"/>
    <w:rsid w:val="009862E8"/>
    <w:rsid w:val="0098762F"/>
    <w:rsid w:val="0099434B"/>
    <w:rsid w:val="00996188"/>
    <w:rsid w:val="00996467"/>
    <w:rsid w:val="00996907"/>
    <w:rsid w:val="00997298"/>
    <w:rsid w:val="009A4D07"/>
    <w:rsid w:val="009C23E9"/>
    <w:rsid w:val="009C44E3"/>
    <w:rsid w:val="009D6E11"/>
    <w:rsid w:val="009E1669"/>
    <w:rsid w:val="009E206F"/>
    <w:rsid w:val="009E5E36"/>
    <w:rsid w:val="009F0AB9"/>
    <w:rsid w:val="009F509C"/>
    <w:rsid w:val="009F5757"/>
    <w:rsid w:val="009F7EED"/>
    <w:rsid w:val="00A01081"/>
    <w:rsid w:val="00A01176"/>
    <w:rsid w:val="00A01809"/>
    <w:rsid w:val="00A02E4F"/>
    <w:rsid w:val="00A038CE"/>
    <w:rsid w:val="00A042AF"/>
    <w:rsid w:val="00A054FD"/>
    <w:rsid w:val="00A0612A"/>
    <w:rsid w:val="00A144A6"/>
    <w:rsid w:val="00A15CDB"/>
    <w:rsid w:val="00A16E3C"/>
    <w:rsid w:val="00A17397"/>
    <w:rsid w:val="00A20763"/>
    <w:rsid w:val="00A24033"/>
    <w:rsid w:val="00A26CCB"/>
    <w:rsid w:val="00A3418F"/>
    <w:rsid w:val="00A378FD"/>
    <w:rsid w:val="00A510EE"/>
    <w:rsid w:val="00A54EDA"/>
    <w:rsid w:val="00A60E6C"/>
    <w:rsid w:val="00A61238"/>
    <w:rsid w:val="00A71E2F"/>
    <w:rsid w:val="00A72146"/>
    <w:rsid w:val="00A766FF"/>
    <w:rsid w:val="00A81160"/>
    <w:rsid w:val="00A82159"/>
    <w:rsid w:val="00A876E9"/>
    <w:rsid w:val="00A87B14"/>
    <w:rsid w:val="00A9563B"/>
    <w:rsid w:val="00A9569B"/>
    <w:rsid w:val="00A9708F"/>
    <w:rsid w:val="00AA2624"/>
    <w:rsid w:val="00AA26DA"/>
    <w:rsid w:val="00AA71FE"/>
    <w:rsid w:val="00AB503E"/>
    <w:rsid w:val="00AC09A1"/>
    <w:rsid w:val="00AC12D1"/>
    <w:rsid w:val="00AC1C24"/>
    <w:rsid w:val="00AC3974"/>
    <w:rsid w:val="00AD5BF9"/>
    <w:rsid w:val="00AE36D0"/>
    <w:rsid w:val="00AF5844"/>
    <w:rsid w:val="00B0085F"/>
    <w:rsid w:val="00B05255"/>
    <w:rsid w:val="00B0771B"/>
    <w:rsid w:val="00B109EB"/>
    <w:rsid w:val="00B218DF"/>
    <w:rsid w:val="00B22258"/>
    <w:rsid w:val="00B22555"/>
    <w:rsid w:val="00B2728D"/>
    <w:rsid w:val="00B27DA7"/>
    <w:rsid w:val="00B30CCE"/>
    <w:rsid w:val="00B30D5D"/>
    <w:rsid w:val="00B31596"/>
    <w:rsid w:val="00B3501A"/>
    <w:rsid w:val="00B35714"/>
    <w:rsid w:val="00B35A19"/>
    <w:rsid w:val="00B37790"/>
    <w:rsid w:val="00B37FE7"/>
    <w:rsid w:val="00B41A37"/>
    <w:rsid w:val="00B4245C"/>
    <w:rsid w:val="00B427D5"/>
    <w:rsid w:val="00B45CDE"/>
    <w:rsid w:val="00B477B0"/>
    <w:rsid w:val="00B57465"/>
    <w:rsid w:val="00B634A0"/>
    <w:rsid w:val="00B64BAD"/>
    <w:rsid w:val="00B72076"/>
    <w:rsid w:val="00B72744"/>
    <w:rsid w:val="00B732BE"/>
    <w:rsid w:val="00B77F9B"/>
    <w:rsid w:val="00B8052E"/>
    <w:rsid w:val="00B80C24"/>
    <w:rsid w:val="00B83E85"/>
    <w:rsid w:val="00B9208B"/>
    <w:rsid w:val="00B94DF5"/>
    <w:rsid w:val="00BA749D"/>
    <w:rsid w:val="00BB2B27"/>
    <w:rsid w:val="00BB7553"/>
    <w:rsid w:val="00BC4FD8"/>
    <w:rsid w:val="00BC508D"/>
    <w:rsid w:val="00BC66D9"/>
    <w:rsid w:val="00BD51A5"/>
    <w:rsid w:val="00BD5ABA"/>
    <w:rsid w:val="00BD6674"/>
    <w:rsid w:val="00BD6EA1"/>
    <w:rsid w:val="00BE6DB1"/>
    <w:rsid w:val="00BF088F"/>
    <w:rsid w:val="00BF0D58"/>
    <w:rsid w:val="00C05B2C"/>
    <w:rsid w:val="00C12ED0"/>
    <w:rsid w:val="00C15591"/>
    <w:rsid w:val="00C17AE0"/>
    <w:rsid w:val="00C24503"/>
    <w:rsid w:val="00C3615C"/>
    <w:rsid w:val="00C37F83"/>
    <w:rsid w:val="00C41C21"/>
    <w:rsid w:val="00C43DE7"/>
    <w:rsid w:val="00C44E73"/>
    <w:rsid w:val="00C508CA"/>
    <w:rsid w:val="00C50C6F"/>
    <w:rsid w:val="00C5641E"/>
    <w:rsid w:val="00C569E5"/>
    <w:rsid w:val="00C57125"/>
    <w:rsid w:val="00C62621"/>
    <w:rsid w:val="00C67218"/>
    <w:rsid w:val="00C70D57"/>
    <w:rsid w:val="00C75D17"/>
    <w:rsid w:val="00C769A2"/>
    <w:rsid w:val="00C82389"/>
    <w:rsid w:val="00C827CF"/>
    <w:rsid w:val="00C8351D"/>
    <w:rsid w:val="00C84FDB"/>
    <w:rsid w:val="00C95F13"/>
    <w:rsid w:val="00C970F8"/>
    <w:rsid w:val="00C978DD"/>
    <w:rsid w:val="00CA0BDE"/>
    <w:rsid w:val="00CA169E"/>
    <w:rsid w:val="00CA3E0C"/>
    <w:rsid w:val="00CA4BB4"/>
    <w:rsid w:val="00CA5CC0"/>
    <w:rsid w:val="00CA7207"/>
    <w:rsid w:val="00CA7795"/>
    <w:rsid w:val="00CB4C02"/>
    <w:rsid w:val="00CB7A45"/>
    <w:rsid w:val="00CC19FC"/>
    <w:rsid w:val="00CC3C7E"/>
    <w:rsid w:val="00CC563D"/>
    <w:rsid w:val="00CC6713"/>
    <w:rsid w:val="00CD1291"/>
    <w:rsid w:val="00CD38E7"/>
    <w:rsid w:val="00CD7924"/>
    <w:rsid w:val="00CE198A"/>
    <w:rsid w:val="00CF00AE"/>
    <w:rsid w:val="00CF4233"/>
    <w:rsid w:val="00CF4707"/>
    <w:rsid w:val="00CF5D72"/>
    <w:rsid w:val="00D00C4A"/>
    <w:rsid w:val="00D00E93"/>
    <w:rsid w:val="00D02253"/>
    <w:rsid w:val="00D0277C"/>
    <w:rsid w:val="00D07CE4"/>
    <w:rsid w:val="00D10463"/>
    <w:rsid w:val="00D1237C"/>
    <w:rsid w:val="00D12DC0"/>
    <w:rsid w:val="00D20A77"/>
    <w:rsid w:val="00D2224C"/>
    <w:rsid w:val="00D34768"/>
    <w:rsid w:val="00D356C7"/>
    <w:rsid w:val="00D35B1D"/>
    <w:rsid w:val="00D37D77"/>
    <w:rsid w:val="00D54284"/>
    <w:rsid w:val="00D6114E"/>
    <w:rsid w:val="00D701E0"/>
    <w:rsid w:val="00D73F7A"/>
    <w:rsid w:val="00D80498"/>
    <w:rsid w:val="00D81214"/>
    <w:rsid w:val="00D81DE3"/>
    <w:rsid w:val="00D821FE"/>
    <w:rsid w:val="00D8335A"/>
    <w:rsid w:val="00D8363F"/>
    <w:rsid w:val="00D85A8F"/>
    <w:rsid w:val="00D85EF0"/>
    <w:rsid w:val="00D86342"/>
    <w:rsid w:val="00D879F4"/>
    <w:rsid w:val="00D9582F"/>
    <w:rsid w:val="00DA114D"/>
    <w:rsid w:val="00DA14CE"/>
    <w:rsid w:val="00DA1E05"/>
    <w:rsid w:val="00DA3E3A"/>
    <w:rsid w:val="00DA662C"/>
    <w:rsid w:val="00DA6A85"/>
    <w:rsid w:val="00DB309B"/>
    <w:rsid w:val="00DB3556"/>
    <w:rsid w:val="00DB5C9E"/>
    <w:rsid w:val="00DC21C3"/>
    <w:rsid w:val="00DC351F"/>
    <w:rsid w:val="00DC7C72"/>
    <w:rsid w:val="00DD1B27"/>
    <w:rsid w:val="00DD2426"/>
    <w:rsid w:val="00DE1380"/>
    <w:rsid w:val="00DF6822"/>
    <w:rsid w:val="00E01D47"/>
    <w:rsid w:val="00E01ED8"/>
    <w:rsid w:val="00E05368"/>
    <w:rsid w:val="00E07792"/>
    <w:rsid w:val="00E12D80"/>
    <w:rsid w:val="00E1495F"/>
    <w:rsid w:val="00E15B1C"/>
    <w:rsid w:val="00E21C94"/>
    <w:rsid w:val="00E22F0F"/>
    <w:rsid w:val="00E246B3"/>
    <w:rsid w:val="00E35C4D"/>
    <w:rsid w:val="00E36517"/>
    <w:rsid w:val="00E37A8E"/>
    <w:rsid w:val="00E40675"/>
    <w:rsid w:val="00E42396"/>
    <w:rsid w:val="00E51ECD"/>
    <w:rsid w:val="00E53FB3"/>
    <w:rsid w:val="00E56B80"/>
    <w:rsid w:val="00E61F27"/>
    <w:rsid w:val="00E65C0C"/>
    <w:rsid w:val="00E66203"/>
    <w:rsid w:val="00E671E7"/>
    <w:rsid w:val="00E725F9"/>
    <w:rsid w:val="00E72C07"/>
    <w:rsid w:val="00E72CDA"/>
    <w:rsid w:val="00E76402"/>
    <w:rsid w:val="00E77C06"/>
    <w:rsid w:val="00E805B4"/>
    <w:rsid w:val="00E82748"/>
    <w:rsid w:val="00E83992"/>
    <w:rsid w:val="00E9668F"/>
    <w:rsid w:val="00E97B38"/>
    <w:rsid w:val="00EA5572"/>
    <w:rsid w:val="00EA5613"/>
    <w:rsid w:val="00EA5986"/>
    <w:rsid w:val="00EB0478"/>
    <w:rsid w:val="00EB16CC"/>
    <w:rsid w:val="00EB4887"/>
    <w:rsid w:val="00EB488E"/>
    <w:rsid w:val="00EC1279"/>
    <w:rsid w:val="00EC3E00"/>
    <w:rsid w:val="00EC635E"/>
    <w:rsid w:val="00EC6895"/>
    <w:rsid w:val="00EC70DF"/>
    <w:rsid w:val="00EC7DB4"/>
    <w:rsid w:val="00ED1AB3"/>
    <w:rsid w:val="00ED21AB"/>
    <w:rsid w:val="00ED73CB"/>
    <w:rsid w:val="00EE37D5"/>
    <w:rsid w:val="00EE481D"/>
    <w:rsid w:val="00EE5D83"/>
    <w:rsid w:val="00EF263D"/>
    <w:rsid w:val="00EF3409"/>
    <w:rsid w:val="00EF61F8"/>
    <w:rsid w:val="00F05F93"/>
    <w:rsid w:val="00F07348"/>
    <w:rsid w:val="00F14E8B"/>
    <w:rsid w:val="00F206CE"/>
    <w:rsid w:val="00F20AA0"/>
    <w:rsid w:val="00F26EBF"/>
    <w:rsid w:val="00F26F8B"/>
    <w:rsid w:val="00F27AFC"/>
    <w:rsid w:val="00F34A46"/>
    <w:rsid w:val="00F362E0"/>
    <w:rsid w:val="00F37547"/>
    <w:rsid w:val="00F40ABD"/>
    <w:rsid w:val="00F432B7"/>
    <w:rsid w:val="00F432BF"/>
    <w:rsid w:val="00F436F3"/>
    <w:rsid w:val="00F468F5"/>
    <w:rsid w:val="00F57952"/>
    <w:rsid w:val="00F64E48"/>
    <w:rsid w:val="00F75D44"/>
    <w:rsid w:val="00F77B09"/>
    <w:rsid w:val="00F80562"/>
    <w:rsid w:val="00F8060E"/>
    <w:rsid w:val="00F8230F"/>
    <w:rsid w:val="00F85480"/>
    <w:rsid w:val="00F87A90"/>
    <w:rsid w:val="00FA06F0"/>
    <w:rsid w:val="00FA307D"/>
    <w:rsid w:val="00FA36BF"/>
    <w:rsid w:val="00FB0EBF"/>
    <w:rsid w:val="00FB150D"/>
    <w:rsid w:val="00FB4BE9"/>
    <w:rsid w:val="00FC059B"/>
    <w:rsid w:val="00FC26EA"/>
    <w:rsid w:val="00FC3A6E"/>
    <w:rsid w:val="00FC3DE2"/>
    <w:rsid w:val="00FD52C2"/>
    <w:rsid w:val="00FE386D"/>
    <w:rsid w:val="00FF15F0"/>
    <w:rsid w:val="00FF2B45"/>
    <w:rsid w:val="00FF4D02"/>
    <w:rsid w:val="00FF6B71"/>
    <w:rsid w:val="00FF7891"/>
    <w:rsid w:val="00FF7ACF"/>
    <w:rsid w:val="327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9E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eastAsia="Times New Roman" w:hAnsi="Times New Roman"/>
      <w:sz w:val="28"/>
    </w:rPr>
  </w:style>
  <w:style w:type="paragraph" w:styleId="Heading1">
    <w:name w:val="heading 1"/>
    <w:basedOn w:val="Normal"/>
    <w:next w:val="Normal"/>
    <w:link w:val="Heading1Char"/>
    <w:qFormat/>
    <w:pPr>
      <w:keepNext/>
      <w:spacing w:before="240" w:after="60"/>
      <w:outlineLvl w:val="0"/>
    </w:pPr>
    <w:rPr>
      <w:b/>
      <w:bCs/>
      <w:kern w:val="32"/>
      <w:szCs w:val="32"/>
    </w:rPr>
  </w:style>
  <w:style w:type="paragraph" w:styleId="Heading3">
    <w:name w:val="heading 3"/>
    <w:basedOn w:val="Normal"/>
    <w:next w:val="Normal"/>
    <w:link w:val="Heading3Char"/>
    <w:qFormat/>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kern w:val="32"/>
      <w:sz w:val="28"/>
      <w:szCs w:val="32"/>
    </w:rPr>
  </w:style>
  <w:style w:type="character" w:customStyle="1" w:styleId="Heading3Char">
    <w:name w:val="Heading 3 Char"/>
    <w:link w:val="Heading3"/>
    <w:rPr>
      <w:rFonts w:ascii=".VnTimeH" w:eastAsia="Times New Roman" w:hAnsi=".VnTimeH" w:cs="Times New Roman"/>
      <w:b/>
      <w:sz w:val="26"/>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semiHidden/>
    <w:rPr>
      <w:rFonts w:ascii="Times New Roman" w:eastAsia="Times New Roman" w:hAnsi="Times New Roman"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Pr>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single sp"/>
    <w:basedOn w:val="Normal"/>
    <w:link w:val="FootnoteTextChar"/>
    <w:uiPriority w:val="99"/>
    <w:unhideWhenUsed/>
    <w:qFormat/>
    <w:rPr>
      <w:sz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8"/>
      <w:szCs w:val="20"/>
    </w:rPr>
  </w:style>
  <w:style w:type="paragraph" w:styleId="NormalWeb">
    <w:name w:val="Normal (Web)"/>
    <w:basedOn w:val="Normal"/>
    <w:unhideWhenUsed/>
    <w:rPr>
      <w:sz w:val="24"/>
      <w:szCs w:val="24"/>
    </w:rPr>
  </w:style>
  <w:style w:type="paragraph" w:styleId="ListParagraph">
    <w:name w:val="List Paragraph"/>
    <w:basedOn w:val="Normal"/>
    <w:uiPriority w:val="34"/>
    <w:qFormat/>
    <w:pPr>
      <w:ind w:left="720"/>
      <w:contextualSpacing/>
    </w:pPr>
  </w:style>
  <w:style w:type="paragraph" w:customStyle="1" w:styleId="abc">
    <w:name w:val="abc"/>
    <w:basedOn w:val="Normal"/>
    <w:rPr>
      <w:rFonts w:ascii=".VnArial" w:hAnsi=".VnArial"/>
      <w:color w:val="0000FF"/>
      <w:sz w:val="24"/>
    </w:rPr>
  </w:style>
  <w:style w:type="table" w:styleId="TableGrid">
    <w:name w:val="Table Grid"/>
    <w:basedOn w:val="TableNormal"/>
    <w:uiPriority w:val="59"/>
    <w:rsid w:val="008E1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60235"/>
    <w:rPr>
      <w:rFonts w:ascii="TimesNewRomanPSMT" w:hAnsi="TimesNewRomanPSMT" w:hint="default"/>
      <w:b w:val="0"/>
      <w:bCs w:val="0"/>
      <w:i w:val="0"/>
      <w:iCs w:val="0"/>
      <w:color w:val="000000"/>
      <w:sz w:val="28"/>
      <w:szCs w:val="28"/>
    </w:rPr>
  </w:style>
  <w:style w:type="character" w:customStyle="1" w:styleId="fontstyle21">
    <w:name w:val="fontstyle21"/>
    <w:rsid w:val="00660235"/>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810F1"/>
    <w:pPr>
      <w:spacing w:after="160" w:line="240" w:lineRule="exact"/>
      <w:jc w:val="left"/>
    </w:pPr>
    <w:rPr>
      <w:rFonts w:ascii="Calibri" w:eastAsia="Calibri" w:hAnsi="Calibri"/>
      <w:sz w:val="20"/>
      <w:vertAlign w:val="superscript"/>
    </w:rPr>
  </w:style>
  <w:style w:type="character" w:styleId="CommentReference">
    <w:name w:val="annotation reference"/>
    <w:basedOn w:val="DefaultParagraphFont"/>
    <w:uiPriority w:val="99"/>
    <w:semiHidden/>
    <w:unhideWhenUsed/>
    <w:rsid w:val="0029363B"/>
    <w:rPr>
      <w:sz w:val="16"/>
      <w:szCs w:val="16"/>
    </w:rPr>
  </w:style>
  <w:style w:type="paragraph" w:styleId="CommentText">
    <w:name w:val="annotation text"/>
    <w:basedOn w:val="Normal"/>
    <w:link w:val="CommentTextChar"/>
    <w:uiPriority w:val="99"/>
    <w:semiHidden/>
    <w:unhideWhenUsed/>
    <w:rsid w:val="0029363B"/>
    <w:rPr>
      <w:sz w:val="20"/>
    </w:rPr>
  </w:style>
  <w:style w:type="character" w:customStyle="1" w:styleId="CommentTextChar">
    <w:name w:val="Comment Text Char"/>
    <w:basedOn w:val="DefaultParagraphFont"/>
    <w:link w:val="CommentText"/>
    <w:uiPriority w:val="99"/>
    <w:semiHidden/>
    <w:rsid w:val="002936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363B"/>
    <w:rPr>
      <w:b/>
      <w:bCs/>
    </w:rPr>
  </w:style>
  <w:style w:type="character" w:customStyle="1" w:styleId="CommentSubjectChar">
    <w:name w:val="Comment Subject Char"/>
    <w:basedOn w:val="CommentTextChar"/>
    <w:link w:val="CommentSubject"/>
    <w:uiPriority w:val="99"/>
    <w:semiHidden/>
    <w:rsid w:val="0029363B"/>
    <w:rPr>
      <w:rFonts w:ascii="Times New Roman" w:eastAsia="Times New Roman" w:hAnsi="Times New Roman"/>
      <w:b/>
      <w:bCs/>
    </w:rPr>
  </w:style>
  <w:style w:type="paragraph" w:styleId="BalloonText">
    <w:name w:val="Balloon Text"/>
    <w:basedOn w:val="Normal"/>
    <w:link w:val="BalloonTextChar"/>
    <w:uiPriority w:val="99"/>
    <w:semiHidden/>
    <w:unhideWhenUsed/>
    <w:rsid w:val="0029363B"/>
    <w:rPr>
      <w:rFonts w:ascii="Tahoma" w:hAnsi="Tahoma" w:cs="Tahoma"/>
      <w:sz w:val="16"/>
      <w:szCs w:val="16"/>
    </w:rPr>
  </w:style>
  <w:style w:type="character" w:customStyle="1" w:styleId="BalloonTextChar">
    <w:name w:val="Balloon Text Char"/>
    <w:basedOn w:val="DefaultParagraphFont"/>
    <w:link w:val="BalloonText"/>
    <w:uiPriority w:val="99"/>
    <w:semiHidden/>
    <w:rsid w:val="002936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eastAsia="Times New Roman" w:hAnsi="Times New Roman"/>
      <w:sz w:val="28"/>
    </w:rPr>
  </w:style>
  <w:style w:type="paragraph" w:styleId="Heading1">
    <w:name w:val="heading 1"/>
    <w:basedOn w:val="Normal"/>
    <w:next w:val="Normal"/>
    <w:link w:val="Heading1Char"/>
    <w:qFormat/>
    <w:pPr>
      <w:keepNext/>
      <w:spacing w:before="240" w:after="60"/>
      <w:outlineLvl w:val="0"/>
    </w:pPr>
    <w:rPr>
      <w:b/>
      <w:bCs/>
      <w:kern w:val="32"/>
      <w:szCs w:val="32"/>
    </w:rPr>
  </w:style>
  <w:style w:type="paragraph" w:styleId="Heading3">
    <w:name w:val="heading 3"/>
    <w:basedOn w:val="Normal"/>
    <w:next w:val="Normal"/>
    <w:link w:val="Heading3Char"/>
    <w:qFormat/>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kern w:val="32"/>
      <w:sz w:val="28"/>
      <w:szCs w:val="32"/>
    </w:rPr>
  </w:style>
  <w:style w:type="character" w:customStyle="1" w:styleId="Heading3Char">
    <w:name w:val="Heading 3 Char"/>
    <w:link w:val="Heading3"/>
    <w:rPr>
      <w:rFonts w:ascii=".VnTimeH" w:eastAsia="Times New Roman" w:hAnsi=".VnTimeH" w:cs="Times New Roman"/>
      <w:b/>
      <w:sz w:val="26"/>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semiHidden/>
    <w:rPr>
      <w:rFonts w:ascii="Times New Roman" w:eastAsia="Times New Roman" w:hAnsi="Times New Roman"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Pr>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single sp"/>
    <w:basedOn w:val="Normal"/>
    <w:link w:val="FootnoteTextChar"/>
    <w:uiPriority w:val="99"/>
    <w:unhideWhenUsed/>
    <w:qFormat/>
    <w:rPr>
      <w:sz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8"/>
      <w:szCs w:val="20"/>
    </w:rPr>
  </w:style>
  <w:style w:type="paragraph" w:styleId="NormalWeb">
    <w:name w:val="Normal (Web)"/>
    <w:basedOn w:val="Normal"/>
    <w:unhideWhenUsed/>
    <w:rPr>
      <w:sz w:val="24"/>
      <w:szCs w:val="24"/>
    </w:rPr>
  </w:style>
  <w:style w:type="paragraph" w:styleId="ListParagraph">
    <w:name w:val="List Paragraph"/>
    <w:basedOn w:val="Normal"/>
    <w:uiPriority w:val="34"/>
    <w:qFormat/>
    <w:pPr>
      <w:ind w:left="720"/>
      <w:contextualSpacing/>
    </w:pPr>
  </w:style>
  <w:style w:type="paragraph" w:customStyle="1" w:styleId="abc">
    <w:name w:val="abc"/>
    <w:basedOn w:val="Normal"/>
    <w:rPr>
      <w:rFonts w:ascii=".VnArial" w:hAnsi=".VnArial"/>
      <w:color w:val="0000FF"/>
      <w:sz w:val="24"/>
    </w:rPr>
  </w:style>
  <w:style w:type="table" w:styleId="TableGrid">
    <w:name w:val="Table Grid"/>
    <w:basedOn w:val="TableNormal"/>
    <w:uiPriority w:val="59"/>
    <w:rsid w:val="008E1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60235"/>
    <w:rPr>
      <w:rFonts w:ascii="TimesNewRomanPSMT" w:hAnsi="TimesNewRomanPSMT" w:hint="default"/>
      <w:b w:val="0"/>
      <w:bCs w:val="0"/>
      <w:i w:val="0"/>
      <w:iCs w:val="0"/>
      <w:color w:val="000000"/>
      <w:sz w:val="28"/>
      <w:szCs w:val="28"/>
    </w:rPr>
  </w:style>
  <w:style w:type="character" w:customStyle="1" w:styleId="fontstyle21">
    <w:name w:val="fontstyle21"/>
    <w:rsid w:val="00660235"/>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810F1"/>
    <w:pPr>
      <w:spacing w:after="160" w:line="240" w:lineRule="exact"/>
      <w:jc w:val="left"/>
    </w:pPr>
    <w:rPr>
      <w:rFonts w:ascii="Calibri" w:eastAsia="Calibri" w:hAnsi="Calibri"/>
      <w:sz w:val="20"/>
      <w:vertAlign w:val="superscript"/>
    </w:rPr>
  </w:style>
  <w:style w:type="character" w:styleId="CommentReference">
    <w:name w:val="annotation reference"/>
    <w:basedOn w:val="DefaultParagraphFont"/>
    <w:uiPriority w:val="99"/>
    <w:semiHidden/>
    <w:unhideWhenUsed/>
    <w:rsid w:val="0029363B"/>
    <w:rPr>
      <w:sz w:val="16"/>
      <w:szCs w:val="16"/>
    </w:rPr>
  </w:style>
  <w:style w:type="paragraph" w:styleId="CommentText">
    <w:name w:val="annotation text"/>
    <w:basedOn w:val="Normal"/>
    <w:link w:val="CommentTextChar"/>
    <w:uiPriority w:val="99"/>
    <w:semiHidden/>
    <w:unhideWhenUsed/>
    <w:rsid w:val="0029363B"/>
    <w:rPr>
      <w:sz w:val="20"/>
    </w:rPr>
  </w:style>
  <w:style w:type="character" w:customStyle="1" w:styleId="CommentTextChar">
    <w:name w:val="Comment Text Char"/>
    <w:basedOn w:val="DefaultParagraphFont"/>
    <w:link w:val="CommentText"/>
    <w:uiPriority w:val="99"/>
    <w:semiHidden/>
    <w:rsid w:val="002936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363B"/>
    <w:rPr>
      <w:b/>
      <w:bCs/>
    </w:rPr>
  </w:style>
  <w:style w:type="character" w:customStyle="1" w:styleId="CommentSubjectChar">
    <w:name w:val="Comment Subject Char"/>
    <w:basedOn w:val="CommentTextChar"/>
    <w:link w:val="CommentSubject"/>
    <w:uiPriority w:val="99"/>
    <w:semiHidden/>
    <w:rsid w:val="0029363B"/>
    <w:rPr>
      <w:rFonts w:ascii="Times New Roman" w:eastAsia="Times New Roman" w:hAnsi="Times New Roman"/>
      <w:b/>
      <w:bCs/>
    </w:rPr>
  </w:style>
  <w:style w:type="paragraph" w:styleId="BalloonText">
    <w:name w:val="Balloon Text"/>
    <w:basedOn w:val="Normal"/>
    <w:link w:val="BalloonTextChar"/>
    <w:uiPriority w:val="99"/>
    <w:semiHidden/>
    <w:unhideWhenUsed/>
    <w:rsid w:val="0029363B"/>
    <w:rPr>
      <w:rFonts w:ascii="Tahoma" w:hAnsi="Tahoma" w:cs="Tahoma"/>
      <w:sz w:val="16"/>
      <w:szCs w:val="16"/>
    </w:rPr>
  </w:style>
  <w:style w:type="character" w:customStyle="1" w:styleId="BalloonTextChar">
    <w:name w:val="Balloon Text Char"/>
    <w:basedOn w:val="DefaultParagraphFont"/>
    <w:link w:val="BalloonText"/>
    <w:uiPriority w:val="99"/>
    <w:semiHidden/>
    <w:rsid w:val="002936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9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8B6D-18D9-41B2-84C3-D091A2B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SKHDT-THQH-TOANNT</dc:creator>
  <cp:keywords/>
  <cp:lastModifiedBy>Admin</cp:lastModifiedBy>
  <cp:revision>75</cp:revision>
  <dcterms:created xsi:type="dcterms:W3CDTF">2022-05-18T02:27:00Z</dcterms:created>
  <dcterms:modified xsi:type="dcterms:W3CDTF">2022-06-27T01:12:00Z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