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497B" w14:textId="77777777" w:rsidR="00003E5D" w:rsidRDefault="00885DCD" w:rsidP="00D64CE0">
      <w:pPr>
        <w:spacing w:after="0" w:line="240" w:lineRule="auto"/>
        <w:jc w:val="center"/>
        <w:rPr>
          <w:b/>
          <w:lang w:val="en-US"/>
        </w:rPr>
      </w:pPr>
      <w:r w:rsidRPr="00885DCD">
        <w:rPr>
          <w:b/>
          <w:lang w:val="en-US"/>
        </w:rPr>
        <w:t>PHỤ LỤC</w:t>
      </w:r>
    </w:p>
    <w:p w14:paraId="16BFC8BB" w14:textId="3BD7E7C4" w:rsidR="00885DCD" w:rsidRDefault="00885DCD" w:rsidP="00D64CE0">
      <w:pPr>
        <w:spacing w:after="0" w:line="240" w:lineRule="auto"/>
        <w:jc w:val="center"/>
        <w:rPr>
          <w:b/>
          <w:spacing w:val="-2"/>
          <w:szCs w:val="28"/>
          <w:lang w:val="nl-NL"/>
        </w:rPr>
      </w:pPr>
      <w:r>
        <w:rPr>
          <w:b/>
          <w:szCs w:val="28"/>
          <w:lang w:val="nl-NL"/>
        </w:rPr>
        <w:t xml:space="preserve">Điều chỉnh </w:t>
      </w:r>
      <w:r w:rsidRPr="00BA67ED">
        <w:rPr>
          <w:b/>
          <w:szCs w:val="28"/>
          <w:lang w:val="nl-NL"/>
        </w:rPr>
        <w:t xml:space="preserve">chủ trương đầu tư </w:t>
      </w:r>
      <w:r>
        <w:rPr>
          <w:b/>
          <w:szCs w:val="28"/>
          <w:lang w:val="nl-NL"/>
        </w:rPr>
        <w:t>dự án khẩn cấp</w:t>
      </w:r>
      <w:r w:rsidRPr="00BA67ED">
        <w:rPr>
          <w:b/>
          <w:spacing w:val="-2"/>
          <w:szCs w:val="28"/>
          <w:lang w:val="nl-NL"/>
        </w:rPr>
        <w:t xml:space="preserve">: </w:t>
      </w:r>
      <w:bookmarkStart w:id="0" w:name="_Hlk71297144"/>
      <w:r w:rsidR="00D64CE0" w:rsidRPr="00137D90">
        <w:rPr>
          <w:b/>
          <w:szCs w:val="28"/>
          <w:lang w:val="nl-NL"/>
        </w:rPr>
        <w:t>Đầu tư cơ sở hạ tầng phục vụ giãn dân tại làng Xộp, xã Mô Rai, huyện Sa Thầy, tỉnh Kon Tum</w:t>
      </w:r>
      <w:r w:rsidRPr="00BA67ED">
        <w:rPr>
          <w:b/>
          <w:spacing w:val="-2"/>
          <w:szCs w:val="28"/>
          <w:lang w:val="nl-NL"/>
        </w:rPr>
        <w:t xml:space="preserve"> Rông</w:t>
      </w:r>
      <w:bookmarkEnd w:id="0"/>
    </w:p>
    <w:p w14:paraId="30886015" w14:textId="2C5B7297" w:rsidR="00885DCD" w:rsidRPr="00DC4517" w:rsidRDefault="00885DCD" w:rsidP="00DC4517">
      <w:pPr>
        <w:spacing w:after="0" w:line="240" w:lineRule="auto"/>
        <w:jc w:val="center"/>
        <w:rPr>
          <w:i/>
          <w:spacing w:val="-2"/>
          <w:szCs w:val="28"/>
          <w:lang w:val="nl-NL"/>
        </w:rPr>
      </w:pPr>
      <w:r>
        <w:rPr>
          <w:spacing w:val="-2"/>
          <w:szCs w:val="28"/>
          <w:lang w:val="nl-NL"/>
        </w:rPr>
        <w:t>(</w:t>
      </w:r>
      <w:r w:rsidRPr="00885DCD">
        <w:rPr>
          <w:i/>
          <w:spacing w:val="-2"/>
          <w:szCs w:val="28"/>
          <w:lang w:val="nl-NL"/>
        </w:rPr>
        <w:t>Kèm theo Tờ trình số</w:t>
      </w:r>
      <w:r w:rsidR="001C6DF2">
        <w:rPr>
          <w:i/>
          <w:spacing w:val="-2"/>
          <w:szCs w:val="28"/>
          <w:lang w:val="nl-NL"/>
        </w:rPr>
        <w:t>:</w:t>
      </w:r>
      <w:r w:rsidR="00DC4517">
        <w:rPr>
          <w:i/>
          <w:spacing w:val="-2"/>
          <w:szCs w:val="28"/>
          <w:lang w:val="nl-NL"/>
        </w:rPr>
        <w:t xml:space="preserve"> </w:t>
      </w:r>
      <w:r w:rsidR="00477393">
        <w:rPr>
          <w:i/>
          <w:spacing w:val="-2"/>
          <w:szCs w:val="28"/>
          <w:lang w:val="nl-NL"/>
        </w:rPr>
        <w:t>165</w:t>
      </w:r>
      <w:r w:rsidR="001C6DF2">
        <w:rPr>
          <w:i/>
          <w:spacing w:val="-2"/>
          <w:szCs w:val="28"/>
          <w:lang w:val="nl-NL"/>
        </w:rPr>
        <w:t xml:space="preserve"> </w:t>
      </w:r>
      <w:r w:rsidR="00DC4517">
        <w:rPr>
          <w:i/>
          <w:spacing w:val="-2"/>
          <w:szCs w:val="28"/>
          <w:lang w:val="nl-NL"/>
        </w:rPr>
        <w:t>/TTr-UBND ngày</w:t>
      </w:r>
      <w:r w:rsidR="00477393">
        <w:rPr>
          <w:i/>
          <w:spacing w:val="-2"/>
          <w:szCs w:val="28"/>
          <w:lang w:val="nl-NL"/>
        </w:rPr>
        <w:t xml:space="preserve"> 29</w:t>
      </w:r>
      <w:r w:rsidR="00DC4517">
        <w:rPr>
          <w:i/>
          <w:spacing w:val="-2"/>
          <w:szCs w:val="28"/>
          <w:lang w:val="nl-NL"/>
        </w:rPr>
        <w:t xml:space="preserve">/9/2021 của </w:t>
      </w:r>
      <w:r w:rsidR="001C6DF2">
        <w:rPr>
          <w:i/>
          <w:spacing w:val="-2"/>
          <w:szCs w:val="28"/>
          <w:lang w:val="nl-NL"/>
        </w:rPr>
        <w:t>UBND</w:t>
      </w:r>
      <w:r w:rsidRPr="00885DCD">
        <w:rPr>
          <w:i/>
          <w:spacing w:val="-2"/>
          <w:szCs w:val="28"/>
          <w:lang w:val="nl-NL"/>
        </w:rPr>
        <w:t xml:space="preserve"> tỉnh</w:t>
      </w:r>
      <w:r>
        <w:rPr>
          <w:spacing w:val="-2"/>
          <w:szCs w:val="28"/>
          <w:lang w:val="nl-NL"/>
        </w:rPr>
        <w:t>)</w:t>
      </w:r>
    </w:p>
    <w:p w14:paraId="7ADAE23D" w14:textId="77777777" w:rsidR="00885DCD" w:rsidRPr="00885DCD" w:rsidRDefault="00885DCD" w:rsidP="00885DCD">
      <w:pPr>
        <w:spacing w:after="0" w:line="240" w:lineRule="auto"/>
        <w:jc w:val="cente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827"/>
        <w:gridCol w:w="3544"/>
      </w:tblGrid>
      <w:tr w:rsidR="007F0B44" w:rsidRPr="00802356" w14:paraId="25B5072B" w14:textId="77777777" w:rsidTr="00802356">
        <w:trPr>
          <w:trHeight w:val="1357"/>
          <w:tblHeader/>
        </w:trPr>
        <w:tc>
          <w:tcPr>
            <w:tcW w:w="567" w:type="dxa"/>
            <w:vAlign w:val="center"/>
          </w:tcPr>
          <w:p w14:paraId="7A6465FC" w14:textId="77777777" w:rsidR="007F0B44" w:rsidRPr="00802356" w:rsidRDefault="007F0B44" w:rsidP="00802356">
            <w:pPr>
              <w:spacing w:after="0" w:line="240" w:lineRule="auto"/>
              <w:jc w:val="center"/>
              <w:rPr>
                <w:b/>
                <w:sz w:val="26"/>
                <w:szCs w:val="26"/>
                <w:lang w:val="nl-NL"/>
              </w:rPr>
            </w:pPr>
            <w:r w:rsidRPr="00802356">
              <w:rPr>
                <w:b/>
                <w:sz w:val="26"/>
                <w:szCs w:val="26"/>
                <w:lang w:val="nl-NL"/>
              </w:rPr>
              <w:t>TT</w:t>
            </w:r>
          </w:p>
        </w:tc>
        <w:tc>
          <w:tcPr>
            <w:tcW w:w="1134" w:type="dxa"/>
            <w:shd w:val="clear" w:color="auto" w:fill="auto"/>
            <w:vAlign w:val="center"/>
          </w:tcPr>
          <w:p w14:paraId="78A968FB" w14:textId="77777777" w:rsidR="007F0B44" w:rsidRPr="00802356" w:rsidRDefault="007F0B44" w:rsidP="00802356">
            <w:pPr>
              <w:spacing w:after="0" w:line="240" w:lineRule="auto"/>
              <w:jc w:val="center"/>
              <w:rPr>
                <w:b/>
                <w:sz w:val="26"/>
                <w:szCs w:val="26"/>
                <w:lang w:val="nl-NL"/>
              </w:rPr>
            </w:pPr>
            <w:r w:rsidRPr="00802356">
              <w:rPr>
                <w:b/>
                <w:sz w:val="26"/>
                <w:szCs w:val="26"/>
                <w:lang w:val="nl-NL"/>
              </w:rPr>
              <w:t>Nội dung</w:t>
            </w:r>
          </w:p>
        </w:tc>
        <w:tc>
          <w:tcPr>
            <w:tcW w:w="3827" w:type="dxa"/>
            <w:shd w:val="clear" w:color="auto" w:fill="auto"/>
            <w:vAlign w:val="center"/>
          </w:tcPr>
          <w:p w14:paraId="162D6FE1" w14:textId="75F6B157" w:rsidR="007F0B44" w:rsidRPr="00802356" w:rsidRDefault="00321F28" w:rsidP="00802356">
            <w:pPr>
              <w:spacing w:after="0" w:line="240" w:lineRule="auto"/>
              <w:jc w:val="center"/>
              <w:rPr>
                <w:b/>
                <w:sz w:val="26"/>
                <w:szCs w:val="26"/>
                <w:lang w:val="nl-NL"/>
              </w:rPr>
            </w:pPr>
            <w:r w:rsidRPr="00802356">
              <w:rPr>
                <w:b/>
                <w:iCs/>
                <w:sz w:val="26"/>
                <w:szCs w:val="26"/>
                <w:lang w:val="en-US"/>
              </w:rPr>
              <w:t xml:space="preserve">Chủ trương đầu tư dự án tại Nghị quyết số 07/NQ-HĐND ngày 17/4/2020 và số 46/NQ-HĐND ngày 29/4/2021 của Hội đồng nhân dân tỉnh </w:t>
            </w:r>
          </w:p>
        </w:tc>
        <w:tc>
          <w:tcPr>
            <w:tcW w:w="3544" w:type="dxa"/>
            <w:shd w:val="clear" w:color="auto" w:fill="auto"/>
            <w:vAlign w:val="center"/>
          </w:tcPr>
          <w:p w14:paraId="6829C69B" w14:textId="667185A0" w:rsidR="007F0B44" w:rsidRPr="00802356" w:rsidRDefault="00EA15C3" w:rsidP="00802356">
            <w:pPr>
              <w:spacing w:after="0" w:line="240" w:lineRule="auto"/>
              <w:jc w:val="center"/>
              <w:rPr>
                <w:b/>
                <w:sz w:val="26"/>
                <w:szCs w:val="26"/>
                <w:lang w:val="nl-NL"/>
              </w:rPr>
            </w:pPr>
            <w:r w:rsidRPr="00802356">
              <w:rPr>
                <w:b/>
                <w:sz w:val="26"/>
                <w:szCs w:val="26"/>
                <w:lang w:val="nl-NL"/>
              </w:rPr>
              <w:t>Đề nghị</w:t>
            </w:r>
            <w:r w:rsidR="00321F28" w:rsidRPr="00802356">
              <w:rPr>
                <w:b/>
                <w:sz w:val="26"/>
                <w:szCs w:val="26"/>
                <w:lang w:val="nl-NL"/>
              </w:rPr>
              <w:t xml:space="preserve"> điều chỉnh</w:t>
            </w:r>
          </w:p>
        </w:tc>
      </w:tr>
      <w:tr w:rsidR="007F0B44" w:rsidRPr="00802356" w14:paraId="421A5CEB" w14:textId="77777777" w:rsidTr="00802356">
        <w:trPr>
          <w:trHeight w:val="1905"/>
        </w:trPr>
        <w:tc>
          <w:tcPr>
            <w:tcW w:w="567" w:type="dxa"/>
            <w:vAlign w:val="center"/>
          </w:tcPr>
          <w:p w14:paraId="2CE0D4D0" w14:textId="77777777" w:rsidR="007F0B44" w:rsidRPr="00802356" w:rsidRDefault="007F0B44" w:rsidP="00802356">
            <w:pPr>
              <w:spacing w:after="0" w:line="240" w:lineRule="auto"/>
              <w:jc w:val="center"/>
              <w:rPr>
                <w:b/>
                <w:sz w:val="26"/>
                <w:szCs w:val="26"/>
              </w:rPr>
            </w:pPr>
            <w:r w:rsidRPr="00802356">
              <w:rPr>
                <w:b/>
                <w:sz w:val="26"/>
                <w:szCs w:val="26"/>
              </w:rPr>
              <w:t>1</w:t>
            </w:r>
          </w:p>
        </w:tc>
        <w:tc>
          <w:tcPr>
            <w:tcW w:w="1134" w:type="dxa"/>
            <w:shd w:val="clear" w:color="auto" w:fill="auto"/>
            <w:vAlign w:val="center"/>
          </w:tcPr>
          <w:p w14:paraId="48510162" w14:textId="77777777" w:rsidR="007F0B44" w:rsidRPr="00802356" w:rsidRDefault="007F0B44" w:rsidP="00802356">
            <w:pPr>
              <w:spacing w:after="0" w:line="240" w:lineRule="auto"/>
              <w:jc w:val="center"/>
              <w:rPr>
                <w:b/>
                <w:sz w:val="26"/>
                <w:szCs w:val="26"/>
                <w:lang w:val="nl-NL"/>
              </w:rPr>
            </w:pPr>
            <w:r w:rsidRPr="00802356">
              <w:rPr>
                <w:b/>
                <w:sz w:val="26"/>
                <w:szCs w:val="26"/>
              </w:rPr>
              <w:t>Mục tiêu đầu tư</w:t>
            </w:r>
          </w:p>
        </w:tc>
        <w:tc>
          <w:tcPr>
            <w:tcW w:w="3827" w:type="dxa"/>
            <w:shd w:val="clear" w:color="auto" w:fill="auto"/>
            <w:vAlign w:val="center"/>
          </w:tcPr>
          <w:p w14:paraId="66AEF3ED" w14:textId="77777777" w:rsidR="007F0B44" w:rsidRPr="00802356" w:rsidRDefault="007F0B44" w:rsidP="00802356">
            <w:pPr>
              <w:spacing w:after="0" w:line="240" w:lineRule="auto"/>
              <w:jc w:val="both"/>
              <w:rPr>
                <w:sz w:val="26"/>
                <w:szCs w:val="26"/>
              </w:rPr>
            </w:pPr>
            <w:r w:rsidRPr="00802356">
              <w:rPr>
                <w:bCs/>
                <w:sz w:val="26"/>
                <w:szCs w:val="26"/>
              </w:rPr>
              <w:t xml:space="preserve">Giải quyết nhu cầu đất ở cho khoảng 700 hộ dân </w:t>
            </w:r>
            <w:r w:rsidRPr="00802356">
              <w:rPr>
                <w:bCs/>
                <w:i/>
                <w:iCs/>
                <w:sz w:val="26"/>
                <w:szCs w:val="26"/>
              </w:rPr>
              <w:t>(trong đó sắp xếp ổn định tại chỗ cho khoảng 50 hộ dân, còn lại là cho lực lượng công nhân của nhà máy)</w:t>
            </w:r>
            <w:r w:rsidRPr="00802356">
              <w:rPr>
                <w:bCs/>
                <w:sz w:val="26"/>
                <w:szCs w:val="26"/>
              </w:rPr>
              <w:t>; đồng thời, khai thác hiệu quả các nguồn lực từ đất đai gắn với đầu tư kết cấu hạ tầng, từng bước đồng bộ cơ sở hạ tầng tại khu vực Trung tâm xã.</w:t>
            </w:r>
          </w:p>
        </w:tc>
        <w:tc>
          <w:tcPr>
            <w:tcW w:w="3544" w:type="dxa"/>
            <w:shd w:val="clear" w:color="auto" w:fill="auto"/>
            <w:vAlign w:val="center"/>
          </w:tcPr>
          <w:p w14:paraId="60D0B771" w14:textId="77777777" w:rsidR="007F0B44" w:rsidRPr="00802356" w:rsidRDefault="007F0B44" w:rsidP="00802356">
            <w:pPr>
              <w:spacing w:after="0" w:line="240" w:lineRule="auto"/>
              <w:jc w:val="both"/>
              <w:rPr>
                <w:bCs/>
                <w:sz w:val="26"/>
                <w:szCs w:val="26"/>
              </w:rPr>
            </w:pPr>
            <w:r w:rsidRPr="00802356">
              <w:rPr>
                <w:bCs/>
                <w:sz w:val="26"/>
                <w:szCs w:val="26"/>
              </w:rPr>
              <w:t xml:space="preserve">Giải quyết nhu cầu đất ở cho khoảng 1.200 hộ dân </w:t>
            </w:r>
            <w:r w:rsidRPr="00802356">
              <w:rPr>
                <w:bCs/>
                <w:i/>
                <w:sz w:val="26"/>
                <w:szCs w:val="26"/>
              </w:rPr>
              <w:t>(trong đó sắp xếp ổn định tại chỗ cho khoảng 100 hộ dân, còn lại là cho lực lượng công nhân của nhà máy)</w:t>
            </w:r>
            <w:r w:rsidRPr="00802356">
              <w:rPr>
                <w:bCs/>
                <w:sz w:val="26"/>
                <w:szCs w:val="26"/>
              </w:rPr>
              <w:t>; đồng thời, khai thác hiệu quả các nguồn lực từ đất đai gắn với đầu tư kết cấu hạ tầng, từng bước đồng bộ cơ sở hạ tầng tại khu vực Trung tâm xã.</w:t>
            </w:r>
          </w:p>
        </w:tc>
      </w:tr>
      <w:tr w:rsidR="007F0B44" w:rsidRPr="00802356" w14:paraId="075432F2" w14:textId="77777777" w:rsidTr="00802356">
        <w:trPr>
          <w:trHeight w:val="811"/>
        </w:trPr>
        <w:tc>
          <w:tcPr>
            <w:tcW w:w="567" w:type="dxa"/>
            <w:vAlign w:val="center"/>
          </w:tcPr>
          <w:p w14:paraId="086B684F" w14:textId="77777777" w:rsidR="007F0B44" w:rsidRPr="00802356" w:rsidRDefault="007F0B44" w:rsidP="00802356">
            <w:pPr>
              <w:widowControl w:val="0"/>
              <w:spacing w:after="0" w:line="240" w:lineRule="auto"/>
              <w:jc w:val="center"/>
              <w:rPr>
                <w:b/>
                <w:sz w:val="26"/>
                <w:szCs w:val="26"/>
              </w:rPr>
            </w:pPr>
            <w:r w:rsidRPr="00802356">
              <w:rPr>
                <w:b/>
                <w:sz w:val="26"/>
                <w:szCs w:val="26"/>
              </w:rPr>
              <w:t>2</w:t>
            </w:r>
          </w:p>
        </w:tc>
        <w:tc>
          <w:tcPr>
            <w:tcW w:w="1134" w:type="dxa"/>
            <w:shd w:val="clear" w:color="auto" w:fill="auto"/>
            <w:vAlign w:val="center"/>
          </w:tcPr>
          <w:p w14:paraId="1B8D5660" w14:textId="77777777" w:rsidR="007F0B44" w:rsidRPr="00802356" w:rsidRDefault="007F0B44" w:rsidP="00802356">
            <w:pPr>
              <w:widowControl w:val="0"/>
              <w:spacing w:after="0" w:line="240" w:lineRule="auto"/>
              <w:jc w:val="center"/>
              <w:rPr>
                <w:b/>
                <w:bCs/>
                <w:sz w:val="26"/>
                <w:szCs w:val="26"/>
              </w:rPr>
            </w:pPr>
            <w:r w:rsidRPr="00802356">
              <w:rPr>
                <w:b/>
                <w:sz w:val="26"/>
                <w:szCs w:val="26"/>
              </w:rPr>
              <w:t>Quy mô đầu tư</w:t>
            </w:r>
          </w:p>
        </w:tc>
        <w:tc>
          <w:tcPr>
            <w:tcW w:w="3827" w:type="dxa"/>
            <w:shd w:val="clear" w:color="auto" w:fill="auto"/>
          </w:tcPr>
          <w:p w14:paraId="183752C8" w14:textId="77777777" w:rsidR="007F0B44" w:rsidRPr="00802356" w:rsidRDefault="007F0B44" w:rsidP="00802356">
            <w:pPr>
              <w:widowControl w:val="0"/>
              <w:spacing w:after="0" w:line="240" w:lineRule="auto"/>
              <w:jc w:val="both"/>
              <w:rPr>
                <w:bCs/>
                <w:sz w:val="26"/>
                <w:szCs w:val="26"/>
              </w:rPr>
            </w:pPr>
            <w:r w:rsidRPr="00802356">
              <w:rPr>
                <w:bCs/>
                <w:sz w:val="26"/>
                <w:szCs w:val="26"/>
              </w:rPr>
              <w:t>Đầu tư cơ sở hạ tầng phục vụ cho khoảng 700 hộ dân với diện tích khoảng 42ha, gồm các hạng mục chính:</w:t>
            </w:r>
          </w:p>
          <w:p w14:paraId="1D6F7516" w14:textId="77777777" w:rsidR="007F0B44" w:rsidRPr="00802356" w:rsidRDefault="007F0B44" w:rsidP="00802356">
            <w:pPr>
              <w:widowControl w:val="0"/>
              <w:spacing w:after="0" w:line="240" w:lineRule="auto"/>
              <w:jc w:val="both"/>
              <w:rPr>
                <w:bCs/>
                <w:sz w:val="26"/>
                <w:szCs w:val="26"/>
              </w:rPr>
            </w:pPr>
            <w:r w:rsidRPr="00802356">
              <w:rPr>
                <w:bCs/>
                <w:sz w:val="26"/>
                <w:szCs w:val="26"/>
              </w:rPr>
              <w:t>- San ủi mặt bằng khoảng 24ha.</w:t>
            </w:r>
          </w:p>
          <w:p w14:paraId="57EB89D5" w14:textId="77777777" w:rsidR="007F0B44" w:rsidRPr="00802356" w:rsidRDefault="007F0B44" w:rsidP="00802356">
            <w:pPr>
              <w:widowControl w:val="0"/>
              <w:spacing w:after="0" w:line="240" w:lineRule="auto"/>
              <w:jc w:val="both"/>
              <w:rPr>
                <w:bCs/>
                <w:sz w:val="26"/>
                <w:szCs w:val="26"/>
              </w:rPr>
            </w:pPr>
            <w:r w:rsidRPr="00802356">
              <w:rPr>
                <w:bCs/>
                <w:sz w:val="26"/>
                <w:szCs w:val="26"/>
              </w:rPr>
              <w:t xml:space="preserve">- Tuyến đường nội bộ khu dân cư có tổng chiều dài khoảng 4,9 km. </w:t>
            </w:r>
          </w:p>
          <w:p w14:paraId="02139D1B" w14:textId="77777777" w:rsidR="007F0B44" w:rsidRPr="00802356" w:rsidRDefault="007F0B44" w:rsidP="00802356">
            <w:pPr>
              <w:widowControl w:val="0"/>
              <w:spacing w:after="0" w:line="240" w:lineRule="auto"/>
              <w:jc w:val="both"/>
              <w:rPr>
                <w:bCs/>
                <w:sz w:val="26"/>
                <w:szCs w:val="26"/>
              </w:rPr>
            </w:pPr>
            <w:r w:rsidRPr="00802356">
              <w:rPr>
                <w:bCs/>
                <w:sz w:val="26"/>
                <w:szCs w:val="26"/>
              </w:rPr>
              <w:t>+ Tuyến N1 (tuyến chính): Tổng chiều dài xây dựng khoảng 0,7km; nền đường Bn = 24m; mặt đường Bm = 15m.</w:t>
            </w:r>
          </w:p>
          <w:p w14:paraId="457EB76D" w14:textId="77777777" w:rsidR="007F0B44" w:rsidRPr="00802356" w:rsidRDefault="007F0B44" w:rsidP="00802356">
            <w:pPr>
              <w:widowControl w:val="0"/>
              <w:spacing w:after="0" w:line="240" w:lineRule="auto"/>
              <w:jc w:val="both"/>
              <w:rPr>
                <w:bCs/>
                <w:sz w:val="26"/>
                <w:szCs w:val="26"/>
              </w:rPr>
            </w:pPr>
            <w:r w:rsidRPr="00802356">
              <w:rPr>
                <w:bCs/>
                <w:sz w:val="26"/>
                <w:szCs w:val="26"/>
              </w:rPr>
              <w:t>+ Các tuyến nhánh: N2, N3, N4, N5, N6, N7, N8, N9, N10: Tổng chiều dài xây dựng các tuyến nhánh khoảng 4,2km; nền đường Bn = 13m; mặt đường Bm = 7m.</w:t>
            </w:r>
          </w:p>
          <w:p w14:paraId="294FA74B" w14:textId="77777777" w:rsidR="007F0B44" w:rsidRPr="00802356" w:rsidRDefault="007F0B44" w:rsidP="00802356">
            <w:pPr>
              <w:widowControl w:val="0"/>
              <w:spacing w:after="0" w:line="240" w:lineRule="auto"/>
              <w:jc w:val="both"/>
              <w:rPr>
                <w:bCs/>
                <w:sz w:val="26"/>
                <w:szCs w:val="26"/>
              </w:rPr>
            </w:pPr>
            <w:r w:rsidRPr="00802356">
              <w:rPr>
                <w:bCs/>
                <w:sz w:val="26"/>
                <w:szCs w:val="26"/>
              </w:rPr>
              <w:t>+ Công trình thoát nước và An toàn giao thông.</w:t>
            </w:r>
          </w:p>
          <w:p w14:paraId="6FD1B8CB" w14:textId="77777777" w:rsidR="007F0B44" w:rsidRPr="00802356" w:rsidRDefault="007F0B44" w:rsidP="00802356">
            <w:pPr>
              <w:widowControl w:val="0"/>
              <w:spacing w:after="0" w:line="240" w:lineRule="auto"/>
              <w:jc w:val="both"/>
              <w:rPr>
                <w:bCs/>
                <w:sz w:val="26"/>
                <w:szCs w:val="26"/>
              </w:rPr>
            </w:pPr>
            <w:r w:rsidRPr="00802356">
              <w:rPr>
                <w:bCs/>
                <w:sz w:val="26"/>
                <w:szCs w:val="26"/>
              </w:rPr>
              <w:t>- Lưới điện sinh hoạt gồm trạm biến áp, đường dây 22kV và đường dây hạ thế 0,4kV dài khoảng 5km.</w:t>
            </w:r>
          </w:p>
          <w:p w14:paraId="5BAB27B3" w14:textId="77777777" w:rsidR="007F0B44" w:rsidRPr="00802356" w:rsidRDefault="007F0B44" w:rsidP="00802356">
            <w:pPr>
              <w:widowControl w:val="0"/>
              <w:spacing w:after="0" w:line="240" w:lineRule="auto"/>
              <w:jc w:val="both"/>
              <w:rPr>
                <w:bCs/>
                <w:sz w:val="26"/>
                <w:szCs w:val="26"/>
              </w:rPr>
            </w:pPr>
            <w:r w:rsidRPr="00802356">
              <w:rPr>
                <w:bCs/>
                <w:sz w:val="26"/>
                <w:szCs w:val="26"/>
              </w:rPr>
              <w:t xml:space="preserve">- Hệ thống cấp nước sinh hoạt gồm trạm bơm, khu xử lý nước và </w:t>
            </w:r>
            <w:r w:rsidRPr="00802356">
              <w:rPr>
                <w:bCs/>
                <w:sz w:val="26"/>
                <w:szCs w:val="26"/>
              </w:rPr>
              <w:lastRenderedPageBreak/>
              <w:t>mạng lưới đường ống phân phối nước chiều dài khoảng 12km.</w:t>
            </w:r>
          </w:p>
          <w:p w14:paraId="501EE3DB" w14:textId="77777777" w:rsidR="007F0B44" w:rsidRPr="00802356" w:rsidRDefault="007F0B44" w:rsidP="00802356">
            <w:pPr>
              <w:widowControl w:val="0"/>
              <w:spacing w:after="0" w:line="240" w:lineRule="auto"/>
              <w:jc w:val="both"/>
              <w:rPr>
                <w:bCs/>
                <w:sz w:val="26"/>
                <w:szCs w:val="26"/>
              </w:rPr>
            </w:pPr>
            <w:r w:rsidRPr="00802356">
              <w:rPr>
                <w:bCs/>
                <w:sz w:val="26"/>
                <w:szCs w:val="26"/>
              </w:rPr>
              <w:t>- Hồ chứa nước với chiều dài tuyến đập khoảng 160m, kết cấu đập đất kết hợp gia cố mái bê tông.</w:t>
            </w:r>
          </w:p>
        </w:tc>
        <w:tc>
          <w:tcPr>
            <w:tcW w:w="3544" w:type="dxa"/>
            <w:shd w:val="clear" w:color="auto" w:fill="auto"/>
          </w:tcPr>
          <w:p w14:paraId="4C181CA1" w14:textId="77777777" w:rsidR="007F0B44" w:rsidRPr="00802356" w:rsidRDefault="007F0B44" w:rsidP="00802356">
            <w:pPr>
              <w:widowControl w:val="0"/>
              <w:spacing w:after="0" w:line="240" w:lineRule="auto"/>
              <w:jc w:val="both"/>
              <w:rPr>
                <w:bCs/>
                <w:sz w:val="26"/>
                <w:szCs w:val="26"/>
              </w:rPr>
            </w:pPr>
            <w:r w:rsidRPr="00802356">
              <w:rPr>
                <w:bCs/>
                <w:sz w:val="26"/>
                <w:szCs w:val="26"/>
              </w:rPr>
              <w:lastRenderedPageBreak/>
              <w:t>Đầu tư cơ sở hạ tầng phục vụ cho khoảng 1.200 hộ dân với diện tích khoảng 73ha, gồm các hạng mục chính:</w:t>
            </w:r>
          </w:p>
          <w:p w14:paraId="540F1EAF" w14:textId="77777777" w:rsidR="007F0B44" w:rsidRPr="00802356" w:rsidRDefault="007F0B44" w:rsidP="00802356">
            <w:pPr>
              <w:widowControl w:val="0"/>
              <w:spacing w:after="0" w:line="240" w:lineRule="auto"/>
              <w:jc w:val="both"/>
              <w:rPr>
                <w:bCs/>
                <w:sz w:val="26"/>
                <w:szCs w:val="26"/>
              </w:rPr>
            </w:pPr>
            <w:r w:rsidRPr="00802356">
              <w:rPr>
                <w:bCs/>
                <w:sz w:val="26"/>
                <w:szCs w:val="26"/>
              </w:rPr>
              <w:t>- San ủi mặt bằng khoảng 48ha.</w:t>
            </w:r>
          </w:p>
          <w:p w14:paraId="63190360" w14:textId="77777777" w:rsidR="007F0B44" w:rsidRPr="00802356" w:rsidRDefault="007F0B44" w:rsidP="00802356">
            <w:pPr>
              <w:widowControl w:val="0"/>
              <w:spacing w:after="0" w:line="240" w:lineRule="auto"/>
              <w:jc w:val="both"/>
              <w:rPr>
                <w:bCs/>
                <w:sz w:val="26"/>
                <w:szCs w:val="26"/>
              </w:rPr>
            </w:pPr>
            <w:r w:rsidRPr="00802356">
              <w:rPr>
                <w:bCs/>
                <w:sz w:val="26"/>
                <w:szCs w:val="26"/>
              </w:rPr>
              <w:t xml:space="preserve">- Tuyến đường nội bộ khu dân cư có tổng chiều dài khoảng 9,6 km. </w:t>
            </w:r>
          </w:p>
          <w:p w14:paraId="51A377FB" w14:textId="77777777" w:rsidR="007F0B44" w:rsidRPr="00802356" w:rsidRDefault="007F0B44" w:rsidP="00802356">
            <w:pPr>
              <w:widowControl w:val="0"/>
              <w:spacing w:after="0" w:line="240" w:lineRule="auto"/>
              <w:jc w:val="both"/>
              <w:rPr>
                <w:bCs/>
                <w:sz w:val="26"/>
                <w:szCs w:val="26"/>
              </w:rPr>
            </w:pPr>
            <w:r w:rsidRPr="00802356">
              <w:rPr>
                <w:bCs/>
                <w:sz w:val="26"/>
                <w:szCs w:val="26"/>
              </w:rPr>
              <w:t>+ Tuyến N1 (tuyến chính): Tổng chiều dài xây dựng khoảng 1,63km; nền đường Bn = 24m; mặt đường Bm = 15m.</w:t>
            </w:r>
          </w:p>
          <w:p w14:paraId="073EA690" w14:textId="77777777" w:rsidR="007F0B44" w:rsidRPr="00802356" w:rsidRDefault="007F0B44" w:rsidP="00802356">
            <w:pPr>
              <w:widowControl w:val="0"/>
              <w:spacing w:after="0" w:line="240" w:lineRule="auto"/>
              <w:jc w:val="both"/>
              <w:rPr>
                <w:bCs/>
                <w:sz w:val="26"/>
                <w:szCs w:val="26"/>
              </w:rPr>
            </w:pPr>
            <w:r w:rsidRPr="00802356">
              <w:rPr>
                <w:bCs/>
                <w:sz w:val="26"/>
                <w:szCs w:val="26"/>
              </w:rPr>
              <w:t>+ Các tuyến nhánh: N2, N3, N4, N5, N6, N7, N8, N9, N10: Tổng chiều dài xây dựng các tuyến nhánh khoảng 4,2km; nền đường Bn = 13m; mặt đường Bm = 7m.</w:t>
            </w:r>
          </w:p>
          <w:p w14:paraId="098895A4" w14:textId="77777777" w:rsidR="007F0B44" w:rsidRPr="00802356" w:rsidRDefault="007F0B44" w:rsidP="00802356">
            <w:pPr>
              <w:widowControl w:val="0"/>
              <w:spacing w:after="0" w:line="240" w:lineRule="auto"/>
              <w:jc w:val="both"/>
              <w:rPr>
                <w:bCs/>
                <w:sz w:val="26"/>
                <w:szCs w:val="26"/>
              </w:rPr>
            </w:pPr>
            <w:r w:rsidRPr="00802356">
              <w:rPr>
                <w:bCs/>
                <w:sz w:val="26"/>
                <w:szCs w:val="26"/>
              </w:rPr>
              <w:t>+ Các tuyến nhánh: N11, N12 N13, N14, N15, N16, N17, N18, N19: Tổng chiều dài xây dựng các tuyến nhánh khoảng 3,77km; nền đường Bn = 13m; mặt đường Bm = 7m.</w:t>
            </w:r>
          </w:p>
          <w:p w14:paraId="57E17850" w14:textId="77777777" w:rsidR="007F0B44" w:rsidRPr="00802356" w:rsidRDefault="007F0B44" w:rsidP="00802356">
            <w:pPr>
              <w:widowControl w:val="0"/>
              <w:spacing w:after="0" w:line="240" w:lineRule="auto"/>
              <w:jc w:val="both"/>
              <w:rPr>
                <w:bCs/>
                <w:sz w:val="26"/>
                <w:szCs w:val="26"/>
              </w:rPr>
            </w:pPr>
            <w:r w:rsidRPr="00802356">
              <w:rPr>
                <w:bCs/>
                <w:sz w:val="26"/>
                <w:szCs w:val="26"/>
              </w:rPr>
              <w:lastRenderedPageBreak/>
              <w:t>+ Công trình thoát nước và An toàn giao thông.</w:t>
            </w:r>
          </w:p>
          <w:p w14:paraId="7FD176B1" w14:textId="77777777" w:rsidR="007F0B44" w:rsidRPr="00802356" w:rsidRDefault="007F0B44" w:rsidP="00802356">
            <w:pPr>
              <w:widowControl w:val="0"/>
              <w:spacing w:after="0" w:line="240" w:lineRule="auto"/>
              <w:jc w:val="both"/>
              <w:rPr>
                <w:bCs/>
                <w:sz w:val="26"/>
                <w:szCs w:val="26"/>
              </w:rPr>
            </w:pPr>
            <w:r w:rsidRPr="00802356">
              <w:rPr>
                <w:bCs/>
                <w:sz w:val="26"/>
                <w:szCs w:val="26"/>
              </w:rPr>
              <w:t>- Lưới điện sinh hoạt gồm trạm biến áp, đường dây 22kV và đường dây hạ thế 0,4kV dài khoảng 10,4km.</w:t>
            </w:r>
          </w:p>
          <w:p w14:paraId="21C35824" w14:textId="77777777" w:rsidR="007F0B44" w:rsidRPr="00802356" w:rsidRDefault="007F0B44" w:rsidP="00802356">
            <w:pPr>
              <w:widowControl w:val="0"/>
              <w:spacing w:after="0" w:line="240" w:lineRule="auto"/>
              <w:jc w:val="both"/>
              <w:rPr>
                <w:bCs/>
                <w:sz w:val="26"/>
                <w:szCs w:val="26"/>
              </w:rPr>
            </w:pPr>
            <w:r w:rsidRPr="00802356">
              <w:rPr>
                <w:bCs/>
                <w:sz w:val="26"/>
                <w:szCs w:val="26"/>
              </w:rPr>
              <w:t>- Hệ thống cấp nước sinh hoạt gồm trạm bơm, khu xử lý nước và mạng lưới đường ống phân phối nước chiều dài khoảng 17,5km.</w:t>
            </w:r>
          </w:p>
          <w:p w14:paraId="5E193006" w14:textId="77777777" w:rsidR="007F0B44" w:rsidRPr="00802356" w:rsidRDefault="007F0B44" w:rsidP="00802356">
            <w:pPr>
              <w:widowControl w:val="0"/>
              <w:spacing w:after="0" w:line="240" w:lineRule="auto"/>
              <w:jc w:val="both"/>
              <w:rPr>
                <w:bCs/>
                <w:sz w:val="26"/>
                <w:szCs w:val="26"/>
              </w:rPr>
            </w:pPr>
            <w:r w:rsidRPr="00802356">
              <w:rPr>
                <w:bCs/>
                <w:sz w:val="26"/>
                <w:szCs w:val="26"/>
              </w:rPr>
              <w:t>- Hồ chứa nước với chiều dài tuyến đập khoảng 160m, kết cấu đập đất kết hợp gia cố mái bê tông.</w:t>
            </w:r>
          </w:p>
        </w:tc>
      </w:tr>
      <w:tr w:rsidR="007F0B44" w:rsidRPr="00802356" w14:paraId="698D26DA" w14:textId="77777777" w:rsidTr="00265974">
        <w:trPr>
          <w:trHeight w:val="371"/>
        </w:trPr>
        <w:tc>
          <w:tcPr>
            <w:tcW w:w="567" w:type="dxa"/>
            <w:vAlign w:val="center"/>
          </w:tcPr>
          <w:p w14:paraId="44331C72" w14:textId="77777777" w:rsidR="007F0B44" w:rsidRPr="00802356" w:rsidRDefault="007F0B44" w:rsidP="00802356">
            <w:pPr>
              <w:widowControl w:val="0"/>
              <w:spacing w:after="0" w:line="240" w:lineRule="auto"/>
              <w:jc w:val="center"/>
              <w:rPr>
                <w:b/>
                <w:sz w:val="26"/>
                <w:szCs w:val="26"/>
              </w:rPr>
            </w:pPr>
            <w:r w:rsidRPr="00802356">
              <w:rPr>
                <w:b/>
                <w:sz w:val="26"/>
                <w:szCs w:val="26"/>
              </w:rPr>
              <w:lastRenderedPageBreak/>
              <w:t>3</w:t>
            </w:r>
          </w:p>
        </w:tc>
        <w:tc>
          <w:tcPr>
            <w:tcW w:w="1134" w:type="dxa"/>
            <w:shd w:val="clear" w:color="auto" w:fill="auto"/>
            <w:vAlign w:val="center"/>
          </w:tcPr>
          <w:p w14:paraId="77D71388" w14:textId="77777777" w:rsidR="007F0B44" w:rsidRPr="00802356" w:rsidRDefault="007F0B44" w:rsidP="00802356">
            <w:pPr>
              <w:widowControl w:val="0"/>
              <w:spacing w:after="0" w:line="240" w:lineRule="auto"/>
              <w:jc w:val="center"/>
              <w:rPr>
                <w:b/>
                <w:sz w:val="26"/>
                <w:szCs w:val="26"/>
              </w:rPr>
            </w:pPr>
            <w:r w:rsidRPr="00802356">
              <w:rPr>
                <w:b/>
                <w:sz w:val="26"/>
                <w:szCs w:val="26"/>
              </w:rPr>
              <w:t>Nhóm dự án</w:t>
            </w:r>
          </w:p>
        </w:tc>
        <w:tc>
          <w:tcPr>
            <w:tcW w:w="3827" w:type="dxa"/>
            <w:shd w:val="clear" w:color="auto" w:fill="auto"/>
            <w:vAlign w:val="center"/>
          </w:tcPr>
          <w:p w14:paraId="11154B9C" w14:textId="77777777" w:rsidR="007F0B44" w:rsidRPr="00802356" w:rsidRDefault="007F0B44" w:rsidP="00802356">
            <w:pPr>
              <w:widowControl w:val="0"/>
              <w:spacing w:after="0" w:line="240" w:lineRule="auto"/>
              <w:jc w:val="both"/>
              <w:rPr>
                <w:bCs/>
                <w:sz w:val="26"/>
                <w:szCs w:val="26"/>
              </w:rPr>
            </w:pPr>
            <w:r w:rsidRPr="00802356">
              <w:rPr>
                <w:bCs/>
                <w:sz w:val="26"/>
                <w:szCs w:val="26"/>
              </w:rPr>
              <w:t>Nhóm C</w:t>
            </w:r>
          </w:p>
        </w:tc>
        <w:tc>
          <w:tcPr>
            <w:tcW w:w="3544" w:type="dxa"/>
            <w:shd w:val="clear" w:color="auto" w:fill="auto"/>
            <w:vAlign w:val="center"/>
          </w:tcPr>
          <w:p w14:paraId="7902553E" w14:textId="77777777" w:rsidR="007F0B44" w:rsidRPr="00802356" w:rsidRDefault="007F0B44" w:rsidP="00802356">
            <w:pPr>
              <w:widowControl w:val="0"/>
              <w:spacing w:after="0" w:line="240" w:lineRule="auto"/>
              <w:jc w:val="both"/>
              <w:rPr>
                <w:bCs/>
                <w:sz w:val="26"/>
                <w:szCs w:val="26"/>
              </w:rPr>
            </w:pPr>
            <w:r w:rsidRPr="00802356">
              <w:rPr>
                <w:bCs/>
                <w:sz w:val="26"/>
                <w:szCs w:val="26"/>
              </w:rPr>
              <w:t>Nhóm B</w:t>
            </w:r>
          </w:p>
        </w:tc>
      </w:tr>
      <w:tr w:rsidR="007F0B44" w:rsidRPr="00802356" w14:paraId="5EE0BA05" w14:textId="77777777" w:rsidTr="00265974">
        <w:trPr>
          <w:trHeight w:val="748"/>
        </w:trPr>
        <w:tc>
          <w:tcPr>
            <w:tcW w:w="567" w:type="dxa"/>
            <w:vAlign w:val="center"/>
          </w:tcPr>
          <w:p w14:paraId="671878CC" w14:textId="77777777" w:rsidR="007F0B44" w:rsidRPr="00802356" w:rsidRDefault="007F0B44" w:rsidP="00802356">
            <w:pPr>
              <w:widowControl w:val="0"/>
              <w:spacing w:after="0" w:line="240" w:lineRule="auto"/>
              <w:jc w:val="center"/>
              <w:rPr>
                <w:b/>
                <w:sz w:val="26"/>
                <w:szCs w:val="26"/>
              </w:rPr>
            </w:pPr>
            <w:r w:rsidRPr="00802356">
              <w:rPr>
                <w:b/>
                <w:sz w:val="26"/>
                <w:szCs w:val="26"/>
              </w:rPr>
              <w:t>4</w:t>
            </w:r>
          </w:p>
        </w:tc>
        <w:tc>
          <w:tcPr>
            <w:tcW w:w="1134" w:type="dxa"/>
            <w:shd w:val="clear" w:color="auto" w:fill="auto"/>
            <w:vAlign w:val="center"/>
          </w:tcPr>
          <w:p w14:paraId="30DF10C3" w14:textId="77777777" w:rsidR="007F0B44" w:rsidRPr="00802356" w:rsidRDefault="007F0B44" w:rsidP="00802356">
            <w:pPr>
              <w:widowControl w:val="0"/>
              <w:spacing w:after="0" w:line="240" w:lineRule="auto"/>
              <w:jc w:val="center"/>
              <w:rPr>
                <w:b/>
                <w:sz w:val="26"/>
                <w:szCs w:val="26"/>
              </w:rPr>
            </w:pPr>
            <w:r w:rsidRPr="00802356">
              <w:rPr>
                <w:b/>
                <w:sz w:val="26"/>
                <w:szCs w:val="26"/>
              </w:rPr>
              <w:t>Tổng mức đầu tư</w:t>
            </w:r>
          </w:p>
        </w:tc>
        <w:tc>
          <w:tcPr>
            <w:tcW w:w="3827" w:type="dxa"/>
            <w:shd w:val="clear" w:color="auto" w:fill="auto"/>
            <w:vAlign w:val="center"/>
          </w:tcPr>
          <w:p w14:paraId="7892DCD5" w14:textId="77777777" w:rsidR="007F0B44" w:rsidRPr="00802356" w:rsidRDefault="007F0B44" w:rsidP="00802356">
            <w:pPr>
              <w:widowControl w:val="0"/>
              <w:spacing w:after="0" w:line="240" w:lineRule="auto"/>
              <w:jc w:val="both"/>
              <w:rPr>
                <w:bCs/>
                <w:sz w:val="26"/>
                <w:szCs w:val="26"/>
              </w:rPr>
            </w:pPr>
            <w:r w:rsidRPr="00802356">
              <w:rPr>
                <w:bCs/>
                <w:sz w:val="26"/>
                <w:szCs w:val="26"/>
              </w:rPr>
              <w:t>Khoảng 75.000 triệu đồng</w:t>
            </w:r>
          </w:p>
        </w:tc>
        <w:tc>
          <w:tcPr>
            <w:tcW w:w="3544" w:type="dxa"/>
            <w:shd w:val="clear" w:color="auto" w:fill="auto"/>
            <w:vAlign w:val="center"/>
          </w:tcPr>
          <w:p w14:paraId="352EC8F9" w14:textId="77777777" w:rsidR="007F0B44" w:rsidRPr="00802356" w:rsidRDefault="007F0B44" w:rsidP="00802356">
            <w:pPr>
              <w:widowControl w:val="0"/>
              <w:spacing w:after="0" w:line="240" w:lineRule="auto"/>
              <w:jc w:val="both"/>
              <w:rPr>
                <w:bCs/>
                <w:sz w:val="26"/>
                <w:szCs w:val="26"/>
              </w:rPr>
            </w:pPr>
            <w:r w:rsidRPr="00802356">
              <w:rPr>
                <w:bCs/>
                <w:sz w:val="26"/>
                <w:szCs w:val="26"/>
              </w:rPr>
              <w:t>Khoảng 123.000 triệu đồng</w:t>
            </w:r>
          </w:p>
        </w:tc>
      </w:tr>
      <w:tr w:rsidR="007F0B44" w:rsidRPr="00802356" w14:paraId="5C10DDEC" w14:textId="77777777" w:rsidTr="00802356">
        <w:trPr>
          <w:trHeight w:val="811"/>
        </w:trPr>
        <w:tc>
          <w:tcPr>
            <w:tcW w:w="567" w:type="dxa"/>
            <w:vAlign w:val="center"/>
          </w:tcPr>
          <w:p w14:paraId="6E4D292E" w14:textId="77777777" w:rsidR="007F0B44" w:rsidRPr="00802356" w:rsidRDefault="007F0B44" w:rsidP="00802356">
            <w:pPr>
              <w:widowControl w:val="0"/>
              <w:spacing w:after="0" w:line="240" w:lineRule="auto"/>
              <w:jc w:val="center"/>
              <w:rPr>
                <w:b/>
                <w:sz w:val="26"/>
                <w:szCs w:val="26"/>
              </w:rPr>
            </w:pPr>
            <w:r w:rsidRPr="00802356">
              <w:rPr>
                <w:b/>
                <w:sz w:val="26"/>
                <w:szCs w:val="26"/>
              </w:rPr>
              <w:t>5</w:t>
            </w:r>
          </w:p>
        </w:tc>
        <w:tc>
          <w:tcPr>
            <w:tcW w:w="1134" w:type="dxa"/>
            <w:shd w:val="clear" w:color="auto" w:fill="auto"/>
            <w:vAlign w:val="center"/>
          </w:tcPr>
          <w:p w14:paraId="2131C1F9" w14:textId="77777777" w:rsidR="007F0B44" w:rsidRPr="00802356" w:rsidRDefault="007F0B44" w:rsidP="00802356">
            <w:pPr>
              <w:widowControl w:val="0"/>
              <w:spacing w:after="0" w:line="240" w:lineRule="auto"/>
              <w:jc w:val="center"/>
              <w:rPr>
                <w:b/>
                <w:bCs/>
                <w:sz w:val="26"/>
                <w:szCs w:val="26"/>
              </w:rPr>
            </w:pPr>
            <w:r w:rsidRPr="00802356">
              <w:rPr>
                <w:b/>
                <w:bCs/>
                <w:sz w:val="26"/>
                <w:szCs w:val="26"/>
              </w:rPr>
              <w:t>Cơ cấu nguồn vốn</w:t>
            </w:r>
            <w:r w:rsidRPr="00802356">
              <w:rPr>
                <w:rStyle w:val="FootnoteReference"/>
                <w:b/>
                <w:bCs/>
                <w:sz w:val="26"/>
                <w:szCs w:val="26"/>
              </w:rPr>
              <w:footnoteReference w:id="1"/>
            </w:r>
          </w:p>
        </w:tc>
        <w:tc>
          <w:tcPr>
            <w:tcW w:w="3827" w:type="dxa"/>
            <w:shd w:val="clear" w:color="auto" w:fill="auto"/>
            <w:vAlign w:val="center"/>
          </w:tcPr>
          <w:p w14:paraId="0CEB3577" w14:textId="77777777" w:rsidR="007F0B44" w:rsidRPr="00802356" w:rsidRDefault="007F0B44" w:rsidP="00802356">
            <w:pPr>
              <w:shd w:val="clear" w:color="auto" w:fill="FFFFFF"/>
              <w:spacing w:after="0" w:line="240" w:lineRule="auto"/>
              <w:jc w:val="both"/>
              <w:rPr>
                <w:bCs/>
                <w:sz w:val="26"/>
                <w:szCs w:val="26"/>
              </w:rPr>
            </w:pPr>
            <w:r w:rsidRPr="00802356">
              <w:rPr>
                <w:bCs/>
                <w:sz w:val="26"/>
                <w:szCs w:val="26"/>
              </w:rPr>
              <w:t xml:space="preserve">- Ngân sách tỉnh </w:t>
            </w:r>
            <w:r w:rsidRPr="00802356">
              <w:rPr>
                <w:bCs/>
                <w:i/>
                <w:iCs/>
                <w:sz w:val="26"/>
                <w:szCs w:val="26"/>
              </w:rPr>
              <w:t>(nguồn tăng thu, tiết kiệm chi năm 2019, 2020 (nếu có) và nguồn cân đối ngân sách địa phương trong Kế hoạch đầu tư công trung hạn giai đoạn 2021-2025)</w:t>
            </w:r>
            <w:r w:rsidRPr="00802356">
              <w:rPr>
                <w:bCs/>
                <w:sz w:val="26"/>
                <w:szCs w:val="26"/>
              </w:rPr>
              <w:t>: 35.000 triệu đồng</w:t>
            </w:r>
          </w:p>
          <w:p w14:paraId="366EDF10" w14:textId="77777777" w:rsidR="007F0B44" w:rsidRPr="00802356" w:rsidRDefault="007F0B44" w:rsidP="00802356">
            <w:pPr>
              <w:shd w:val="clear" w:color="auto" w:fill="FFFFFF"/>
              <w:spacing w:after="0" w:line="240" w:lineRule="auto"/>
              <w:jc w:val="both"/>
              <w:rPr>
                <w:bCs/>
                <w:sz w:val="26"/>
                <w:szCs w:val="26"/>
              </w:rPr>
            </w:pPr>
            <w:r w:rsidRPr="00802356">
              <w:rPr>
                <w:bCs/>
                <w:sz w:val="26"/>
                <w:szCs w:val="26"/>
              </w:rPr>
              <w:t>- Ngân sách huyện: Khoảng 40.000 triệu đồng</w:t>
            </w:r>
          </w:p>
        </w:tc>
        <w:tc>
          <w:tcPr>
            <w:tcW w:w="3544" w:type="dxa"/>
            <w:shd w:val="clear" w:color="auto" w:fill="auto"/>
            <w:vAlign w:val="center"/>
          </w:tcPr>
          <w:p w14:paraId="56703191" w14:textId="77777777" w:rsidR="007F0B44" w:rsidRPr="00802356" w:rsidRDefault="007F0B44" w:rsidP="00802356">
            <w:pPr>
              <w:shd w:val="clear" w:color="auto" w:fill="FFFFFF"/>
              <w:spacing w:after="0" w:line="240" w:lineRule="auto"/>
              <w:jc w:val="both"/>
              <w:rPr>
                <w:bCs/>
                <w:sz w:val="26"/>
                <w:szCs w:val="26"/>
              </w:rPr>
            </w:pPr>
            <w:r w:rsidRPr="00802356">
              <w:rPr>
                <w:bCs/>
                <w:sz w:val="26"/>
                <w:szCs w:val="26"/>
              </w:rPr>
              <w:t xml:space="preserve">- Ngân sách tỉnh </w:t>
            </w:r>
            <w:r w:rsidRPr="00802356">
              <w:rPr>
                <w:bCs/>
                <w:i/>
                <w:sz w:val="26"/>
                <w:szCs w:val="26"/>
              </w:rPr>
              <w:t>(nguồn tăng thu, tiết kiệm chi năm 2019, 2020 (nếu có) và nguồn cân đối ngân sách địa phương trong Kế hoạch đầu tư công trung hạn giai đoạn 2021-2025)</w:t>
            </w:r>
            <w:r w:rsidRPr="00802356">
              <w:rPr>
                <w:bCs/>
                <w:sz w:val="26"/>
                <w:szCs w:val="26"/>
              </w:rPr>
              <w:t>: 35.000 triệu đồng</w:t>
            </w:r>
          </w:p>
          <w:p w14:paraId="292A6FD4" w14:textId="77777777" w:rsidR="007F0B44" w:rsidRPr="00802356" w:rsidRDefault="007F0B44" w:rsidP="00802356">
            <w:pPr>
              <w:widowControl w:val="0"/>
              <w:spacing w:after="0" w:line="240" w:lineRule="auto"/>
              <w:jc w:val="both"/>
              <w:rPr>
                <w:bCs/>
                <w:sz w:val="26"/>
                <w:szCs w:val="26"/>
              </w:rPr>
            </w:pPr>
            <w:r w:rsidRPr="00802356">
              <w:rPr>
                <w:bCs/>
                <w:sz w:val="26"/>
                <w:szCs w:val="26"/>
              </w:rPr>
              <w:t>- Ngân sách huyện: Khoảng 88.000 triệu đồng</w:t>
            </w:r>
          </w:p>
        </w:tc>
      </w:tr>
      <w:tr w:rsidR="007F0B44" w:rsidRPr="00802356" w14:paraId="4E412BA3" w14:textId="77777777" w:rsidTr="00802356">
        <w:trPr>
          <w:trHeight w:val="811"/>
        </w:trPr>
        <w:tc>
          <w:tcPr>
            <w:tcW w:w="567" w:type="dxa"/>
            <w:vAlign w:val="center"/>
          </w:tcPr>
          <w:p w14:paraId="0E1E92A2" w14:textId="77777777" w:rsidR="007F0B44" w:rsidRPr="00802356" w:rsidRDefault="007F0B44" w:rsidP="00802356">
            <w:pPr>
              <w:widowControl w:val="0"/>
              <w:spacing w:after="0" w:line="240" w:lineRule="auto"/>
              <w:jc w:val="center"/>
              <w:rPr>
                <w:b/>
                <w:sz w:val="26"/>
                <w:szCs w:val="26"/>
              </w:rPr>
            </w:pPr>
            <w:r w:rsidRPr="00802356">
              <w:rPr>
                <w:b/>
                <w:sz w:val="26"/>
                <w:szCs w:val="26"/>
              </w:rPr>
              <w:t>6</w:t>
            </w:r>
          </w:p>
        </w:tc>
        <w:tc>
          <w:tcPr>
            <w:tcW w:w="1134" w:type="dxa"/>
            <w:shd w:val="clear" w:color="auto" w:fill="auto"/>
            <w:vAlign w:val="center"/>
          </w:tcPr>
          <w:p w14:paraId="45EC19E8" w14:textId="77777777" w:rsidR="007F0B44" w:rsidRPr="00802356" w:rsidRDefault="007F0B44" w:rsidP="00802356">
            <w:pPr>
              <w:widowControl w:val="0"/>
              <w:spacing w:after="0" w:line="240" w:lineRule="auto"/>
              <w:jc w:val="center"/>
              <w:rPr>
                <w:b/>
                <w:bCs/>
                <w:sz w:val="26"/>
                <w:szCs w:val="26"/>
              </w:rPr>
            </w:pPr>
            <w:r w:rsidRPr="00802356">
              <w:rPr>
                <w:b/>
                <w:bCs/>
                <w:sz w:val="26"/>
                <w:szCs w:val="26"/>
              </w:rPr>
              <w:t>Thời gian thực hiện</w:t>
            </w:r>
          </w:p>
        </w:tc>
        <w:tc>
          <w:tcPr>
            <w:tcW w:w="3827" w:type="dxa"/>
            <w:shd w:val="clear" w:color="auto" w:fill="auto"/>
            <w:vAlign w:val="center"/>
          </w:tcPr>
          <w:p w14:paraId="0DAAB6F2" w14:textId="77777777" w:rsidR="007F0B44" w:rsidRPr="00802356" w:rsidRDefault="007F0B44" w:rsidP="00802356">
            <w:pPr>
              <w:shd w:val="clear" w:color="auto" w:fill="FFFFFF"/>
              <w:spacing w:after="0" w:line="240" w:lineRule="auto"/>
              <w:jc w:val="center"/>
              <w:rPr>
                <w:bCs/>
                <w:sz w:val="26"/>
                <w:szCs w:val="26"/>
              </w:rPr>
            </w:pPr>
            <w:r w:rsidRPr="00802356">
              <w:rPr>
                <w:bCs/>
                <w:sz w:val="26"/>
                <w:szCs w:val="26"/>
              </w:rPr>
              <w:t>2 năm</w:t>
            </w:r>
          </w:p>
        </w:tc>
        <w:tc>
          <w:tcPr>
            <w:tcW w:w="3544" w:type="dxa"/>
            <w:shd w:val="clear" w:color="auto" w:fill="auto"/>
            <w:vAlign w:val="center"/>
          </w:tcPr>
          <w:p w14:paraId="69391756" w14:textId="0781E70E" w:rsidR="007F0B44" w:rsidRPr="00802356" w:rsidRDefault="007F0B44" w:rsidP="00802356">
            <w:pPr>
              <w:shd w:val="clear" w:color="auto" w:fill="FFFFFF"/>
              <w:spacing w:after="0" w:line="240" w:lineRule="auto"/>
              <w:jc w:val="center"/>
              <w:rPr>
                <w:bCs/>
                <w:sz w:val="26"/>
                <w:szCs w:val="26"/>
              </w:rPr>
            </w:pPr>
            <w:r w:rsidRPr="00802356">
              <w:rPr>
                <w:bCs/>
                <w:sz w:val="26"/>
                <w:szCs w:val="26"/>
              </w:rPr>
              <w:t>4 năm</w:t>
            </w:r>
          </w:p>
        </w:tc>
      </w:tr>
      <w:tr w:rsidR="007F0B44" w:rsidRPr="00802356" w14:paraId="20D6E308" w14:textId="77777777" w:rsidTr="00265974">
        <w:trPr>
          <w:trHeight w:val="903"/>
        </w:trPr>
        <w:tc>
          <w:tcPr>
            <w:tcW w:w="567" w:type="dxa"/>
            <w:vAlign w:val="center"/>
          </w:tcPr>
          <w:p w14:paraId="3533ED8C" w14:textId="77777777" w:rsidR="007F0B44" w:rsidRPr="00802356" w:rsidRDefault="007F0B44" w:rsidP="00802356">
            <w:pPr>
              <w:widowControl w:val="0"/>
              <w:spacing w:after="0" w:line="240" w:lineRule="auto"/>
              <w:jc w:val="center"/>
              <w:rPr>
                <w:b/>
                <w:sz w:val="26"/>
                <w:szCs w:val="26"/>
              </w:rPr>
            </w:pPr>
            <w:r w:rsidRPr="00802356">
              <w:rPr>
                <w:b/>
                <w:sz w:val="26"/>
                <w:szCs w:val="26"/>
              </w:rPr>
              <w:t>7</w:t>
            </w:r>
          </w:p>
        </w:tc>
        <w:tc>
          <w:tcPr>
            <w:tcW w:w="1134" w:type="dxa"/>
            <w:shd w:val="clear" w:color="auto" w:fill="auto"/>
            <w:vAlign w:val="center"/>
          </w:tcPr>
          <w:p w14:paraId="242CEBD4" w14:textId="370B67CF" w:rsidR="007F0B44" w:rsidRPr="00802356" w:rsidRDefault="007F0B44" w:rsidP="00802356">
            <w:pPr>
              <w:widowControl w:val="0"/>
              <w:spacing w:after="0" w:line="240" w:lineRule="auto"/>
              <w:jc w:val="center"/>
              <w:rPr>
                <w:b/>
                <w:bCs/>
                <w:sz w:val="26"/>
                <w:szCs w:val="26"/>
              </w:rPr>
            </w:pPr>
            <w:r w:rsidRPr="00802356">
              <w:rPr>
                <w:b/>
                <w:bCs/>
                <w:sz w:val="26"/>
                <w:szCs w:val="26"/>
              </w:rPr>
              <w:t>Tiến độ thự</w:t>
            </w:r>
            <w:r w:rsidR="00802356">
              <w:rPr>
                <w:b/>
                <w:bCs/>
                <w:sz w:val="26"/>
                <w:szCs w:val="26"/>
              </w:rPr>
              <w:t>c</w:t>
            </w:r>
            <w:r w:rsidR="00802356">
              <w:rPr>
                <w:b/>
                <w:bCs/>
                <w:sz w:val="26"/>
                <w:szCs w:val="26"/>
                <w:lang w:val="en-US"/>
              </w:rPr>
              <w:t xml:space="preserve"> </w:t>
            </w:r>
            <w:r w:rsidRPr="00802356">
              <w:rPr>
                <w:b/>
                <w:bCs/>
                <w:sz w:val="26"/>
                <w:szCs w:val="26"/>
              </w:rPr>
              <w:t>hiện dự án</w:t>
            </w:r>
          </w:p>
        </w:tc>
        <w:tc>
          <w:tcPr>
            <w:tcW w:w="3827" w:type="dxa"/>
            <w:shd w:val="clear" w:color="auto" w:fill="auto"/>
            <w:vAlign w:val="center"/>
          </w:tcPr>
          <w:p w14:paraId="6A5FE0EE" w14:textId="77777777" w:rsidR="007F0B44" w:rsidRPr="00802356" w:rsidRDefault="007F0B44" w:rsidP="00802356">
            <w:pPr>
              <w:shd w:val="clear" w:color="auto" w:fill="FFFFFF"/>
              <w:spacing w:after="0" w:line="240" w:lineRule="auto"/>
              <w:jc w:val="center"/>
              <w:rPr>
                <w:bCs/>
                <w:sz w:val="26"/>
                <w:szCs w:val="26"/>
              </w:rPr>
            </w:pPr>
            <w:r w:rsidRPr="00802356">
              <w:rPr>
                <w:bCs/>
                <w:sz w:val="26"/>
                <w:szCs w:val="26"/>
              </w:rPr>
              <w:t>Từ năm 2020-2021</w:t>
            </w:r>
          </w:p>
        </w:tc>
        <w:tc>
          <w:tcPr>
            <w:tcW w:w="3544" w:type="dxa"/>
            <w:shd w:val="clear" w:color="auto" w:fill="auto"/>
            <w:vAlign w:val="center"/>
          </w:tcPr>
          <w:p w14:paraId="7B44FE26" w14:textId="77777777" w:rsidR="007F0B44" w:rsidRPr="00802356" w:rsidRDefault="007F0B44" w:rsidP="00802356">
            <w:pPr>
              <w:shd w:val="clear" w:color="auto" w:fill="FFFFFF"/>
              <w:spacing w:after="0" w:line="240" w:lineRule="auto"/>
              <w:jc w:val="center"/>
              <w:rPr>
                <w:bCs/>
                <w:sz w:val="26"/>
                <w:szCs w:val="26"/>
              </w:rPr>
            </w:pPr>
            <w:r w:rsidRPr="00802356">
              <w:rPr>
                <w:bCs/>
                <w:sz w:val="26"/>
                <w:szCs w:val="26"/>
              </w:rPr>
              <w:t>Từ năm 2020-2023</w:t>
            </w:r>
          </w:p>
        </w:tc>
      </w:tr>
    </w:tbl>
    <w:p w14:paraId="2559DACB" w14:textId="77777777" w:rsidR="00885DCD" w:rsidRPr="00885DCD" w:rsidRDefault="00885DCD" w:rsidP="00885DCD">
      <w:pPr>
        <w:jc w:val="center"/>
        <w:rPr>
          <w:lang w:val="en-US"/>
        </w:rPr>
      </w:pPr>
    </w:p>
    <w:sectPr w:rsidR="00885DCD" w:rsidRPr="00885DCD" w:rsidSect="00802356">
      <w:footerReference w:type="default" r:id="rId6"/>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B28B" w14:textId="77777777" w:rsidR="000877E8" w:rsidRDefault="000877E8" w:rsidP="00885DCD">
      <w:pPr>
        <w:spacing w:after="0" w:line="240" w:lineRule="auto"/>
      </w:pPr>
      <w:r>
        <w:separator/>
      </w:r>
    </w:p>
  </w:endnote>
  <w:endnote w:type="continuationSeparator" w:id="0">
    <w:p w14:paraId="6ED1A2A4" w14:textId="77777777" w:rsidR="000877E8" w:rsidRDefault="000877E8" w:rsidP="0088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B0FA" w14:textId="4CB3F52A" w:rsidR="00885DCD" w:rsidRDefault="00885DCD">
    <w:pPr>
      <w:pStyle w:val="Footer"/>
      <w:jc w:val="right"/>
    </w:pPr>
    <w:r>
      <w:fldChar w:fldCharType="begin"/>
    </w:r>
    <w:r>
      <w:instrText xml:space="preserve"> PAGE   \* MERGEFORMAT </w:instrText>
    </w:r>
    <w:r>
      <w:fldChar w:fldCharType="separate"/>
    </w:r>
    <w:r w:rsidR="001C6DF2">
      <w:rPr>
        <w:noProof/>
      </w:rPr>
      <w:t>1</w:t>
    </w:r>
    <w:r>
      <w:rPr>
        <w:noProof/>
      </w:rPr>
      <w:fldChar w:fldCharType="end"/>
    </w:r>
  </w:p>
  <w:p w14:paraId="20285797" w14:textId="77777777" w:rsidR="00885DCD" w:rsidRDefault="0088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ABDE" w14:textId="77777777" w:rsidR="000877E8" w:rsidRDefault="000877E8" w:rsidP="00885DCD">
      <w:pPr>
        <w:spacing w:after="0" w:line="240" w:lineRule="auto"/>
      </w:pPr>
      <w:r>
        <w:separator/>
      </w:r>
    </w:p>
  </w:footnote>
  <w:footnote w:type="continuationSeparator" w:id="0">
    <w:p w14:paraId="0D644D5D" w14:textId="77777777" w:rsidR="000877E8" w:rsidRDefault="000877E8" w:rsidP="00885DCD">
      <w:pPr>
        <w:spacing w:after="0" w:line="240" w:lineRule="auto"/>
      </w:pPr>
      <w:r>
        <w:continuationSeparator/>
      </w:r>
    </w:p>
  </w:footnote>
  <w:footnote w:id="1">
    <w:p w14:paraId="6ED05AAF" w14:textId="77777777" w:rsidR="007F0B44" w:rsidRPr="0044224A" w:rsidRDefault="007F0B44" w:rsidP="007F0B44">
      <w:pPr>
        <w:pStyle w:val="FootnoteText"/>
        <w:rPr>
          <w:rFonts w:ascii="Times New Roman" w:hAnsi="Times New Roman"/>
          <w:color w:val="auto"/>
        </w:rPr>
      </w:pPr>
      <w:r w:rsidRPr="0044224A">
        <w:rPr>
          <w:rStyle w:val="FootnoteReference"/>
          <w:rFonts w:ascii="Times New Roman" w:hAnsi="Times New Roman"/>
          <w:color w:val="auto"/>
        </w:rPr>
        <w:footnoteRef/>
      </w:r>
      <w:r w:rsidRPr="0044224A">
        <w:rPr>
          <w:rFonts w:ascii="Times New Roman" w:hAnsi="Times New Roman"/>
          <w:color w:val="auto"/>
        </w:rPr>
        <w:t xml:space="preserve"> Cơ cấu nguồn vốn được điều chỉnh tại Nghị quyết số 46/NQ-HĐND ngày 29-4-2021 của Hội đồng nhân dân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DCD"/>
    <w:rsid w:val="00003E5D"/>
    <w:rsid w:val="000877E8"/>
    <w:rsid w:val="00097142"/>
    <w:rsid w:val="00130F93"/>
    <w:rsid w:val="001C6DF2"/>
    <w:rsid w:val="002142DC"/>
    <w:rsid w:val="00263DC0"/>
    <w:rsid w:val="00265974"/>
    <w:rsid w:val="00301B43"/>
    <w:rsid w:val="00321F28"/>
    <w:rsid w:val="00364DA8"/>
    <w:rsid w:val="00387FC8"/>
    <w:rsid w:val="00422CB1"/>
    <w:rsid w:val="00477393"/>
    <w:rsid w:val="004C3CD8"/>
    <w:rsid w:val="005E1299"/>
    <w:rsid w:val="007F0B44"/>
    <w:rsid w:val="00802356"/>
    <w:rsid w:val="008344DF"/>
    <w:rsid w:val="00885DCD"/>
    <w:rsid w:val="008C3604"/>
    <w:rsid w:val="008D65B0"/>
    <w:rsid w:val="009F0778"/>
    <w:rsid w:val="00AE0976"/>
    <w:rsid w:val="00AF168C"/>
    <w:rsid w:val="00BC556A"/>
    <w:rsid w:val="00C677E7"/>
    <w:rsid w:val="00D024F0"/>
    <w:rsid w:val="00D64CE0"/>
    <w:rsid w:val="00DC4517"/>
    <w:rsid w:val="00E31884"/>
    <w:rsid w:val="00EA15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A94F"/>
  <w15:docId w15:val="{2B3442C6-C2DB-4D48-9EDA-A19B12A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Web"/>
    <w:qFormat/>
    <w:rsid w:val="008344DF"/>
    <w:pPr>
      <w:shd w:val="clear" w:color="auto" w:fill="FFFFFF"/>
      <w:spacing w:before="120" w:after="120" w:line="240" w:lineRule="auto"/>
      <w:ind w:firstLine="567"/>
      <w:jc w:val="both"/>
    </w:pPr>
    <w:rPr>
      <w:rFonts w:eastAsia="Times New Roman"/>
      <w:b/>
      <w:color w:val="000000"/>
      <w:sz w:val="28"/>
      <w:szCs w:val="28"/>
      <w:lang w:val="en-US"/>
    </w:rPr>
  </w:style>
  <w:style w:type="paragraph" w:styleId="NormalWeb">
    <w:name w:val="Normal (Web)"/>
    <w:basedOn w:val="Normal"/>
    <w:uiPriority w:val="99"/>
    <w:semiHidden/>
    <w:unhideWhenUsed/>
    <w:rsid w:val="008344DF"/>
    <w:rPr>
      <w:sz w:val="24"/>
      <w:szCs w:val="24"/>
    </w:rPr>
  </w:style>
  <w:style w:type="paragraph" w:customStyle="1" w:styleId="C3">
    <w:name w:val="C3"/>
    <w:basedOn w:val="Normal"/>
    <w:qFormat/>
    <w:rsid w:val="008344DF"/>
    <w:pPr>
      <w:spacing w:before="120" w:after="120" w:line="240" w:lineRule="auto"/>
      <w:ind w:firstLine="567"/>
      <w:jc w:val="both"/>
      <w:outlineLvl w:val="2"/>
    </w:pPr>
    <w:rPr>
      <w:rFonts w:ascii="Times New Roman Bold" w:eastAsia="Times New Roman" w:hAnsi="Times New Roman Bold"/>
      <w:b/>
      <w:szCs w:val="28"/>
      <w:lang w:val="en-US"/>
    </w:rPr>
  </w:style>
  <w:style w:type="paragraph" w:customStyle="1" w:styleId="C2">
    <w:name w:val="C2"/>
    <w:basedOn w:val="NormalWeb"/>
    <w:qFormat/>
    <w:rsid w:val="008344DF"/>
    <w:pPr>
      <w:shd w:val="clear" w:color="auto" w:fill="FFFFFF"/>
      <w:spacing w:before="120" w:after="120" w:line="240" w:lineRule="auto"/>
      <w:ind w:firstLine="567"/>
      <w:jc w:val="both"/>
      <w:outlineLvl w:val="1"/>
    </w:pPr>
    <w:rPr>
      <w:rFonts w:ascii="Times New Roman Bold" w:eastAsia="Times New Roman" w:hAnsi="Times New Roman Bold"/>
      <w:b/>
      <w:color w:val="000000"/>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85DCD"/>
    <w:pPr>
      <w:spacing w:after="0" w:line="240" w:lineRule="auto"/>
      <w:jc w:val="both"/>
    </w:pPr>
    <w:rPr>
      <w:rFonts w:ascii=".VnTime" w:eastAsia="Times New Roman" w:hAnsi=".VnTime"/>
      <w:color w:val="0000FF"/>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885DCD"/>
    <w:rPr>
      <w:rFonts w:ascii=".VnTime" w:eastAsia="Times New Roman" w:hAnsi=".VnTime"/>
      <w:color w:val="0000FF"/>
      <w:lang w:val="en-US" w:eastAsia="en-US"/>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
    <w:uiPriority w:val="99"/>
    <w:qFormat/>
    <w:rsid w:val="00885DCD"/>
    <w:rPr>
      <w:vertAlign w:val="superscript"/>
    </w:rPr>
  </w:style>
  <w:style w:type="paragraph" w:customStyle="1" w:styleId="noidung">
    <w:name w:val="noi dung"/>
    <w:basedOn w:val="Normal"/>
    <w:link w:val="noidungChar"/>
    <w:rsid w:val="00885DCD"/>
    <w:pPr>
      <w:tabs>
        <w:tab w:val="left" w:pos="567"/>
      </w:tabs>
      <w:spacing w:after="120" w:line="312" w:lineRule="auto"/>
      <w:ind w:firstLine="567"/>
      <w:jc w:val="both"/>
    </w:pPr>
    <w:rPr>
      <w:rFonts w:eastAsia="Times New Roman"/>
      <w:bCs/>
      <w:iCs/>
      <w:sz w:val="26"/>
      <w:szCs w:val="26"/>
      <w:lang w:val="en-GB"/>
    </w:rPr>
  </w:style>
  <w:style w:type="character" w:customStyle="1" w:styleId="noidungChar">
    <w:name w:val="noi dung Char"/>
    <w:link w:val="noidung"/>
    <w:rsid w:val="00885DCD"/>
    <w:rPr>
      <w:rFonts w:eastAsia="Times New Roman"/>
      <w:bCs/>
      <w:iCs/>
      <w:sz w:val="26"/>
      <w:szCs w:val="26"/>
      <w:lang w:val="en-GB" w:eastAsia="en-US"/>
    </w:rPr>
  </w:style>
  <w:style w:type="paragraph" w:styleId="Header">
    <w:name w:val="header"/>
    <w:basedOn w:val="Normal"/>
    <w:link w:val="HeaderChar"/>
    <w:uiPriority w:val="99"/>
    <w:unhideWhenUsed/>
    <w:rsid w:val="00885DCD"/>
    <w:pPr>
      <w:tabs>
        <w:tab w:val="center" w:pos="4513"/>
        <w:tab w:val="right" w:pos="9026"/>
      </w:tabs>
    </w:pPr>
  </w:style>
  <w:style w:type="character" w:customStyle="1" w:styleId="HeaderChar">
    <w:name w:val="Header Char"/>
    <w:basedOn w:val="DefaultParagraphFont"/>
    <w:link w:val="Header"/>
    <w:uiPriority w:val="99"/>
    <w:rsid w:val="00885DCD"/>
    <w:rPr>
      <w:sz w:val="28"/>
      <w:szCs w:val="22"/>
      <w:lang w:eastAsia="en-US"/>
    </w:rPr>
  </w:style>
  <w:style w:type="paragraph" w:styleId="Footer">
    <w:name w:val="footer"/>
    <w:basedOn w:val="Normal"/>
    <w:link w:val="FooterChar"/>
    <w:uiPriority w:val="99"/>
    <w:unhideWhenUsed/>
    <w:rsid w:val="00885DCD"/>
    <w:pPr>
      <w:tabs>
        <w:tab w:val="center" w:pos="4513"/>
        <w:tab w:val="right" w:pos="9026"/>
      </w:tabs>
    </w:pPr>
  </w:style>
  <w:style w:type="character" w:customStyle="1" w:styleId="FooterChar">
    <w:name w:val="Footer Char"/>
    <w:basedOn w:val="DefaultParagraphFont"/>
    <w:link w:val="Footer"/>
    <w:uiPriority w:val="99"/>
    <w:rsid w:val="00885DC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cp:revision>
  <dcterms:created xsi:type="dcterms:W3CDTF">2021-09-28T03:50:00Z</dcterms:created>
  <dcterms:modified xsi:type="dcterms:W3CDTF">2021-09-29T06:27:00Z</dcterms:modified>
</cp:coreProperties>
</file>