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18" w:type="dxa"/>
        <w:tblLook w:val="01E0" w:firstRow="1" w:lastRow="1" w:firstColumn="1" w:lastColumn="1" w:noHBand="0" w:noVBand="0"/>
      </w:tblPr>
      <w:tblGrid>
        <w:gridCol w:w="3910"/>
        <w:gridCol w:w="5973"/>
      </w:tblGrid>
      <w:tr w:rsidR="00BA118E" w:rsidRPr="00BA118E" w14:paraId="2AAAF05E" w14:textId="77777777" w:rsidTr="005B7DAC">
        <w:trPr>
          <w:trHeight w:hRule="exact" w:val="907"/>
        </w:trPr>
        <w:tc>
          <w:tcPr>
            <w:tcW w:w="1978" w:type="pct"/>
            <w:shd w:val="clear" w:color="auto" w:fill="auto"/>
          </w:tcPr>
          <w:p w14:paraId="2AAAF05A" w14:textId="77777777" w:rsidR="0086459C" w:rsidRPr="00BA118E" w:rsidRDefault="0086459C" w:rsidP="00223E5E">
            <w:pPr>
              <w:jc w:val="center"/>
              <w:rPr>
                <w:sz w:val="26"/>
                <w:szCs w:val="28"/>
              </w:rPr>
            </w:pPr>
            <w:r w:rsidRPr="00BA118E">
              <w:rPr>
                <w:sz w:val="26"/>
                <w:szCs w:val="28"/>
              </w:rPr>
              <w:t>HĐND TỈNH KON TUM</w:t>
            </w:r>
          </w:p>
          <w:p w14:paraId="2AAAF05B" w14:textId="77777777" w:rsidR="0086459C" w:rsidRPr="00BA118E" w:rsidRDefault="00A04ACD" w:rsidP="00223E5E">
            <w:pPr>
              <w:jc w:val="center"/>
              <w:rPr>
                <w:b/>
                <w:sz w:val="26"/>
                <w:szCs w:val="28"/>
              </w:rPr>
            </w:pPr>
            <w:r w:rsidRPr="00BA118E">
              <w:rPr>
                <w:noProof/>
                <w:sz w:val="26"/>
                <w:szCs w:val="28"/>
                <w:lang w:val="vi-VN" w:eastAsia="vi-VN"/>
              </w:rPr>
              <mc:AlternateContent>
                <mc:Choice Requires="wps">
                  <w:drawing>
                    <wp:anchor distT="0" distB="0" distL="114300" distR="114300" simplePos="0" relativeHeight="251656704" behindDoc="0" locked="0" layoutInCell="1" allowOverlap="1" wp14:anchorId="2AAAF0CC" wp14:editId="2AAAF0CD">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E62E6"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86459C" w:rsidRPr="00BA118E">
              <w:rPr>
                <w:b/>
                <w:sz w:val="26"/>
                <w:szCs w:val="28"/>
              </w:rPr>
              <w:t>BAN KINH TẾ - NGÂN SÁCH</w:t>
            </w:r>
          </w:p>
        </w:tc>
        <w:tc>
          <w:tcPr>
            <w:tcW w:w="3022" w:type="pct"/>
            <w:shd w:val="clear" w:color="auto" w:fill="auto"/>
          </w:tcPr>
          <w:p w14:paraId="2AAAF05C" w14:textId="77777777" w:rsidR="0086459C" w:rsidRPr="00BA118E" w:rsidRDefault="0086459C" w:rsidP="00223E5E">
            <w:pPr>
              <w:jc w:val="center"/>
              <w:rPr>
                <w:b/>
                <w:sz w:val="26"/>
                <w:szCs w:val="28"/>
              </w:rPr>
            </w:pPr>
            <w:r w:rsidRPr="00BA118E">
              <w:rPr>
                <w:b/>
                <w:sz w:val="26"/>
                <w:szCs w:val="28"/>
              </w:rPr>
              <w:t>CỘNG HÒA XÃ HỘI CHỦ NGHĨA VIỆT NAM</w:t>
            </w:r>
          </w:p>
          <w:p w14:paraId="2AAAF05D" w14:textId="77777777" w:rsidR="0086459C" w:rsidRPr="00BA118E" w:rsidRDefault="00A04ACD" w:rsidP="00223E5E">
            <w:pPr>
              <w:jc w:val="center"/>
              <w:rPr>
                <w:b/>
                <w:sz w:val="26"/>
                <w:szCs w:val="28"/>
              </w:rPr>
            </w:pPr>
            <w:r w:rsidRPr="00BA118E">
              <w:rPr>
                <w:noProof/>
                <w:szCs w:val="28"/>
                <w:lang w:val="vi-VN" w:eastAsia="vi-VN"/>
              </w:rPr>
              <mc:AlternateContent>
                <mc:Choice Requires="wps">
                  <w:drawing>
                    <wp:anchor distT="0" distB="0" distL="114300" distR="114300" simplePos="0" relativeHeight="251657728" behindDoc="0" locked="0" layoutInCell="1" allowOverlap="1" wp14:anchorId="2AAAF0CE" wp14:editId="2AAAF0CF">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779C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86459C" w:rsidRPr="00BA118E">
              <w:rPr>
                <w:b/>
                <w:szCs w:val="28"/>
              </w:rPr>
              <w:t>Độc lập - Tự do - Hạnh phúc</w:t>
            </w:r>
          </w:p>
        </w:tc>
      </w:tr>
      <w:tr w:rsidR="00BA118E" w:rsidRPr="00BA118E" w14:paraId="2AAAF064" w14:textId="77777777" w:rsidTr="005B7DAC">
        <w:trPr>
          <w:trHeight w:hRule="exact" w:val="518"/>
        </w:trPr>
        <w:tc>
          <w:tcPr>
            <w:tcW w:w="1978" w:type="pct"/>
            <w:shd w:val="clear" w:color="auto" w:fill="auto"/>
          </w:tcPr>
          <w:p w14:paraId="2AAAF05F" w14:textId="287F2A70" w:rsidR="0086459C" w:rsidRPr="00BA118E" w:rsidRDefault="0086459C" w:rsidP="00223E5E">
            <w:pPr>
              <w:jc w:val="center"/>
              <w:rPr>
                <w:sz w:val="26"/>
                <w:szCs w:val="28"/>
              </w:rPr>
            </w:pPr>
            <w:r w:rsidRPr="00BA118E">
              <w:rPr>
                <w:sz w:val="26"/>
                <w:szCs w:val="28"/>
              </w:rPr>
              <w:t xml:space="preserve">Số: </w:t>
            </w:r>
            <w:r w:rsidR="00FA55BF">
              <w:rPr>
                <w:sz w:val="26"/>
                <w:szCs w:val="28"/>
              </w:rPr>
              <w:t>46</w:t>
            </w:r>
            <w:r w:rsidRPr="00BA118E">
              <w:rPr>
                <w:sz w:val="26"/>
                <w:szCs w:val="28"/>
              </w:rPr>
              <w:t xml:space="preserve"> /BC-BKTNS</w:t>
            </w:r>
          </w:p>
          <w:p w14:paraId="2AAAF060" w14:textId="5D500596" w:rsidR="0086459C" w:rsidRPr="00BA118E" w:rsidRDefault="0086459C" w:rsidP="00223E5E">
            <w:pPr>
              <w:ind w:firstLine="709"/>
              <w:jc w:val="both"/>
              <w:rPr>
                <w:szCs w:val="28"/>
              </w:rPr>
            </w:pPr>
          </w:p>
          <w:p w14:paraId="2AAAF061" w14:textId="77777777" w:rsidR="0086459C" w:rsidRPr="00BA118E" w:rsidRDefault="0086459C" w:rsidP="00223E5E">
            <w:pPr>
              <w:ind w:firstLine="709"/>
              <w:jc w:val="both"/>
              <w:rPr>
                <w:szCs w:val="28"/>
              </w:rPr>
            </w:pPr>
          </w:p>
          <w:p w14:paraId="2AAAF062" w14:textId="77777777" w:rsidR="0086459C" w:rsidRPr="00BA118E" w:rsidRDefault="0086459C" w:rsidP="00223E5E">
            <w:pPr>
              <w:ind w:firstLine="709"/>
              <w:jc w:val="both"/>
              <w:rPr>
                <w:szCs w:val="28"/>
              </w:rPr>
            </w:pPr>
          </w:p>
        </w:tc>
        <w:tc>
          <w:tcPr>
            <w:tcW w:w="3022" w:type="pct"/>
            <w:shd w:val="clear" w:color="auto" w:fill="auto"/>
          </w:tcPr>
          <w:p w14:paraId="2AAAF063" w14:textId="74FF1A4D" w:rsidR="0086459C" w:rsidRPr="00BA118E" w:rsidRDefault="0086459C" w:rsidP="00FA55BF">
            <w:pPr>
              <w:ind w:firstLine="709"/>
              <w:jc w:val="both"/>
              <w:rPr>
                <w:i/>
                <w:szCs w:val="28"/>
              </w:rPr>
            </w:pPr>
            <w:r w:rsidRPr="00BA118E">
              <w:rPr>
                <w:i/>
                <w:szCs w:val="28"/>
              </w:rPr>
              <w:t xml:space="preserve">Kon Tum, ngày </w:t>
            </w:r>
            <w:r w:rsidR="00FA55BF">
              <w:rPr>
                <w:i/>
                <w:szCs w:val="28"/>
              </w:rPr>
              <w:t>18</w:t>
            </w:r>
            <w:r w:rsidRPr="00BA118E">
              <w:rPr>
                <w:i/>
                <w:szCs w:val="28"/>
              </w:rPr>
              <w:t xml:space="preserve"> tháng </w:t>
            </w:r>
            <w:r w:rsidR="00FA55BF">
              <w:rPr>
                <w:i/>
                <w:szCs w:val="28"/>
              </w:rPr>
              <w:t>10</w:t>
            </w:r>
            <w:r w:rsidRPr="00BA118E">
              <w:rPr>
                <w:i/>
                <w:szCs w:val="28"/>
              </w:rPr>
              <w:t xml:space="preserve"> năm</w:t>
            </w:r>
            <w:r w:rsidR="00FA55BF">
              <w:rPr>
                <w:i/>
                <w:szCs w:val="28"/>
              </w:rPr>
              <w:t xml:space="preserve"> 2021</w:t>
            </w:r>
            <w:r w:rsidRPr="00BA118E">
              <w:rPr>
                <w:i/>
                <w:szCs w:val="28"/>
              </w:rPr>
              <w:t xml:space="preserve">    </w:t>
            </w:r>
          </w:p>
        </w:tc>
      </w:tr>
    </w:tbl>
    <w:p w14:paraId="6F7B0413" w14:textId="77777777" w:rsidR="00D3554D" w:rsidRPr="00BA118E" w:rsidRDefault="00D3554D" w:rsidP="0086459C">
      <w:pPr>
        <w:jc w:val="center"/>
        <w:rPr>
          <w:b/>
        </w:rPr>
      </w:pPr>
    </w:p>
    <w:p w14:paraId="2AAAF065" w14:textId="77777777" w:rsidR="00A64E4E" w:rsidRPr="00BA118E" w:rsidRDefault="0086459C" w:rsidP="0086459C">
      <w:pPr>
        <w:jc w:val="center"/>
        <w:rPr>
          <w:b/>
        </w:rPr>
      </w:pPr>
      <w:r w:rsidRPr="00BA118E">
        <w:rPr>
          <w:b/>
        </w:rPr>
        <w:t>BÁO CÁO</w:t>
      </w:r>
    </w:p>
    <w:p w14:paraId="054C3F1C" w14:textId="77777777" w:rsidR="00B478E8" w:rsidRPr="00BA118E" w:rsidRDefault="00A64E4E" w:rsidP="0086459C">
      <w:pPr>
        <w:jc w:val="center"/>
        <w:rPr>
          <w:b/>
        </w:rPr>
      </w:pPr>
      <w:r w:rsidRPr="00BA118E">
        <w:rPr>
          <w:b/>
        </w:rPr>
        <w:t xml:space="preserve">Tổng hợp kết quả thẩm tra các nội dung trình </w:t>
      </w:r>
      <w:r w:rsidR="005A751A" w:rsidRPr="00BA118E">
        <w:rPr>
          <w:b/>
        </w:rPr>
        <w:t xml:space="preserve">Kỳ </w:t>
      </w:r>
      <w:r w:rsidRPr="00BA118E">
        <w:rPr>
          <w:b/>
        </w:rPr>
        <w:t xml:space="preserve">họp </w:t>
      </w:r>
      <w:r w:rsidR="00E8053A" w:rsidRPr="00BA118E">
        <w:rPr>
          <w:b/>
        </w:rPr>
        <w:t>chuyên đề</w:t>
      </w:r>
      <w:r w:rsidRPr="00BA118E">
        <w:rPr>
          <w:b/>
        </w:rPr>
        <w:t xml:space="preserve"> </w:t>
      </w:r>
    </w:p>
    <w:p w14:paraId="2AAAF066" w14:textId="2559728C" w:rsidR="0086459C" w:rsidRPr="00BA118E" w:rsidRDefault="00FD313B" w:rsidP="0086459C">
      <w:pPr>
        <w:jc w:val="center"/>
        <w:rPr>
          <w:b/>
        </w:rPr>
      </w:pPr>
      <w:r w:rsidRPr="00BA118E">
        <w:rPr>
          <w:b/>
        </w:rPr>
        <w:t>Hội đồng nhân dân tỉnh Khóa XII, nhiệm kỳ 2021 - 2026</w:t>
      </w:r>
    </w:p>
    <w:p w14:paraId="2AAAF067" w14:textId="77777777" w:rsidR="0086459C" w:rsidRPr="00BA118E" w:rsidRDefault="00A04ACD" w:rsidP="0086459C">
      <w:pPr>
        <w:jc w:val="center"/>
      </w:pPr>
      <w:r w:rsidRPr="00BA118E">
        <w:rPr>
          <w:noProof/>
          <w:lang w:val="vi-VN" w:eastAsia="vi-VN"/>
        </w:rPr>
        <mc:AlternateContent>
          <mc:Choice Requires="wps">
            <w:drawing>
              <wp:anchor distT="0" distB="0" distL="114300" distR="114300" simplePos="0" relativeHeight="251658752" behindDoc="0" locked="0" layoutInCell="1" allowOverlap="1" wp14:anchorId="2AAAF0D0" wp14:editId="278AE18A">
                <wp:simplePos x="0" y="0"/>
                <wp:positionH relativeFrom="margin">
                  <wp:align>center</wp:align>
                </wp:positionH>
                <wp:positionV relativeFrom="paragraph">
                  <wp:posOffset>109220</wp:posOffset>
                </wp:positionV>
                <wp:extent cx="107505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003D1" id="_x0000_t32" coordsize="21600,21600" o:spt="32" o:oned="t" path="m,l21600,21600e" filled="f">
                <v:path arrowok="t" fillok="f" o:connecttype="none"/>
                <o:lock v:ext="edit" shapetype="t"/>
              </v:shapetype>
              <v:shape id="AutoShape 4" o:spid="_x0000_s1026" type="#_x0000_t32" style="position:absolute;margin-left:0;margin-top:8.6pt;width:84.6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GX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7P0bppOpxj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EZD+YXaAAAABgEAAA8AAABk&#10;cnMvZG93bnJldi54bWxMj8FOwzAQRO9I/IO1SFxQ6zSI0oY4VYXEgSNtJa7beEkC8TqKnSb069mK&#10;AxxnZjXzNt9MrlUn6kPj2cBinoAiLr1tuDJw2L/MVqBCRLbYeiYD3xRgU1xf5ZhZP/IbnXaxUlLC&#10;IUMDdYxdpnUoa3IY5r4jluzD9w6jyL7StsdRyl2r0yRZaocNy0KNHT3XVH7tBmeAwvCwSLZrVx1e&#10;z+Pde3r+HLu9Mbc30/YJVKQp/h3DBV/QoRCmox/YBtUakEeiuI8pqEu6XN+DOv4ausj1f/ziBwAA&#10;//8DAFBLAQItABQABgAIAAAAIQC2gziS/gAAAOEBAAATAAAAAAAAAAAAAAAAAAAAAABbQ29udGVu&#10;dF9UeXBlc10ueG1sUEsBAi0AFAAGAAgAAAAhADj9If/WAAAAlAEAAAsAAAAAAAAAAAAAAAAALwEA&#10;AF9yZWxzLy5yZWxzUEsBAi0AFAAGAAgAAAAhANlk8Zc0AgAAdwQAAA4AAAAAAAAAAAAAAAAALgIA&#10;AGRycy9lMm9Eb2MueG1sUEsBAi0AFAAGAAgAAAAhAEZD+YXaAAAABgEAAA8AAAAAAAAAAAAAAAAA&#10;jgQAAGRycy9kb3ducmV2LnhtbFBLBQYAAAAABAAEAPMAAACVBQAAAAA=&#10;">
                <w10:wrap anchorx="margin"/>
              </v:shape>
            </w:pict>
          </mc:Fallback>
        </mc:AlternateContent>
      </w:r>
    </w:p>
    <w:p w14:paraId="2AAAF068" w14:textId="77777777" w:rsidR="0086459C" w:rsidRPr="00BA118E" w:rsidRDefault="0086459C" w:rsidP="0086459C">
      <w:pPr>
        <w:jc w:val="center"/>
        <w:rPr>
          <w:sz w:val="16"/>
          <w:szCs w:val="10"/>
        </w:rPr>
      </w:pPr>
    </w:p>
    <w:p w14:paraId="2AAAF069" w14:textId="2A8A6C50" w:rsidR="0086459C" w:rsidRPr="00BA118E" w:rsidRDefault="0086459C" w:rsidP="005A751A">
      <w:pPr>
        <w:jc w:val="center"/>
      </w:pPr>
      <w:r w:rsidRPr="00BA118E">
        <w:t>Kính gửi: Hội đồng nhân dân tỉnh</w:t>
      </w:r>
      <w:r w:rsidR="00FD313B" w:rsidRPr="00BA118E">
        <w:t xml:space="preserve"> Khóa XII, nhiệm kỳ 2021-2026</w:t>
      </w:r>
      <w:r w:rsidR="005A751A" w:rsidRPr="00BA118E">
        <w:t>.</w:t>
      </w:r>
    </w:p>
    <w:p w14:paraId="224B4F46" w14:textId="77777777" w:rsidR="00CD54F7" w:rsidRPr="00BA118E" w:rsidRDefault="00A605C3" w:rsidP="00CD54F7">
      <w:pPr>
        <w:spacing w:before="120" w:after="120"/>
        <w:ind w:firstLine="709"/>
        <w:jc w:val="both"/>
        <w:rPr>
          <w:sz w:val="8"/>
          <w:szCs w:val="2"/>
        </w:rPr>
      </w:pPr>
      <w:r w:rsidRPr="00BA118E">
        <w:rPr>
          <w:sz w:val="8"/>
          <w:szCs w:val="2"/>
        </w:rPr>
        <w:tab/>
      </w:r>
    </w:p>
    <w:p w14:paraId="2AAAF06B" w14:textId="4711BA18" w:rsidR="00A605C3" w:rsidRPr="00BA118E" w:rsidRDefault="00A605C3" w:rsidP="005B7DAC">
      <w:pPr>
        <w:spacing w:before="120" w:after="120" w:line="288" w:lineRule="auto"/>
        <w:ind w:firstLine="709"/>
        <w:jc w:val="both"/>
        <w:rPr>
          <w:szCs w:val="28"/>
        </w:rPr>
      </w:pPr>
      <w:proofErr w:type="gramStart"/>
      <w:r w:rsidRPr="00BA118E">
        <w:rPr>
          <w:szCs w:val="28"/>
        </w:rPr>
        <w:t xml:space="preserve">Thực hiện sự phân công của Thường trực Hội đồng nhân dân tỉnh về việc thẩm tra các dự thảo Nghị quyết trình Kỳ họp </w:t>
      </w:r>
      <w:r w:rsidR="00E8053A" w:rsidRPr="00BA118E">
        <w:rPr>
          <w:szCs w:val="28"/>
        </w:rPr>
        <w:t>chuyên đề</w:t>
      </w:r>
      <w:r w:rsidR="005A751A" w:rsidRPr="00BA118E">
        <w:rPr>
          <w:szCs w:val="28"/>
        </w:rPr>
        <w:t>, Hội đồng nhân dân tỉnh Khóa XII</w:t>
      </w:r>
      <w:r w:rsidRPr="00BA118E">
        <w:rPr>
          <w:szCs w:val="28"/>
        </w:rPr>
        <w:t>.</w:t>
      </w:r>
      <w:proofErr w:type="gramEnd"/>
      <w:r w:rsidRPr="00BA118E">
        <w:rPr>
          <w:szCs w:val="28"/>
        </w:rPr>
        <w:t xml:space="preserve"> Ban Kinh tế - Ngân sách báo cáo </w:t>
      </w:r>
      <w:r w:rsidR="00A64E4E" w:rsidRPr="00BA118E">
        <w:rPr>
          <w:szCs w:val="28"/>
        </w:rPr>
        <w:t>tổng hợp</w:t>
      </w:r>
      <w:r w:rsidR="00A64E4E" w:rsidRPr="00BA118E">
        <w:rPr>
          <w:b/>
          <w:szCs w:val="28"/>
        </w:rPr>
        <w:t xml:space="preserve"> </w:t>
      </w:r>
      <w:r w:rsidRPr="00BA118E">
        <w:rPr>
          <w:szCs w:val="28"/>
        </w:rPr>
        <w:t>kết quả thẩm tra như sau:</w:t>
      </w:r>
    </w:p>
    <w:p w14:paraId="2AAAF06C" w14:textId="77777777" w:rsidR="00A605C3" w:rsidRPr="00BA118E" w:rsidRDefault="001F4B5E" w:rsidP="005B7DAC">
      <w:pPr>
        <w:pStyle w:val="ListParagraph"/>
        <w:spacing w:before="120" w:after="120" w:line="288" w:lineRule="auto"/>
        <w:ind w:left="0" w:firstLine="709"/>
        <w:contextualSpacing w:val="0"/>
        <w:jc w:val="both"/>
        <w:rPr>
          <w:b/>
          <w:bCs/>
          <w:szCs w:val="28"/>
          <w:lang w:val="nl-NL"/>
        </w:rPr>
      </w:pPr>
      <w:r w:rsidRPr="00BA118E">
        <w:rPr>
          <w:b/>
          <w:bCs/>
          <w:szCs w:val="28"/>
          <w:lang w:val="nl-NL"/>
        </w:rPr>
        <w:t xml:space="preserve">I. </w:t>
      </w:r>
      <w:r w:rsidR="00A605C3" w:rsidRPr="00BA118E">
        <w:rPr>
          <w:b/>
          <w:bCs/>
          <w:szCs w:val="28"/>
          <w:lang w:val="nl-NL"/>
        </w:rPr>
        <w:t>Các nội dung Ủy ban nhân dân tỉnh trình</w:t>
      </w:r>
    </w:p>
    <w:p w14:paraId="2AAAF06D" w14:textId="2B152FE8" w:rsidR="00A605C3" w:rsidRPr="00BA118E" w:rsidRDefault="00A605C3" w:rsidP="005B7DAC">
      <w:pPr>
        <w:spacing w:before="120" w:after="120" w:line="288" w:lineRule="auto"/>
        <w:ind w:firstLine="709"/>
        <w:jc w:val="both"/>
        <w:rPr>
          <w:sz w:val="30"/>
          <w:szCs w:val="30"/>
          <w:lang w:val="nl-NL"/>
        </w:rPr>
      </w:pPr>
      <w:r w:rsidRPr="00BA118E">
        <w:rPr>
          <w:bCs/>
          <w:szCs w:val="28"/>
          <w:lang w:val="nl-NL"/>
        </w:rPr>
        <w:tab/>
      </w:r>
      <w:r w:rsidR="005A751A" w:rsidRPr="00BA118E">
        <w:rPr>
          <w:bCs/>
          <w:szCs w:val="28"/>
          <w:lang w:val="nl-NL"/>
        </w:rPr>
        <w:t>Tại Kỳ họp</w:t>
      </w:r>
      <w:r w:rsidR="00A0598A" w:rsidRPr="00BA118E">
        <w:rPr>
          <w:bCs/>
          <w:szCs w:val="28"/>
          <w:lang w:val="nl-NL"/>
        </w:rPr>
        <w:t xml:space="preserve"> chuyên đề</w:t>
      </w:r>
      <w:r w:rsidR="005A751A" w:rsidRPr="00BA118E">
        <w:rPr>
          <w:bCs/>
          <w:szCs w:val="28"/>
          <w:lang w:val="nl-NL"/>
        </w:rPr>
        <w:t xml:space="preserve">, </w:t>
      </w:r>
      <w:r w:rsidRPr="00BA118E">
        <w:rPr>
          <w:bCs/>
          <w:szCs w:val="28"/>
          <w:lang w:val="nl-NL"/>
        </w:rPr>
        <w:t>Ủy ban nhân dân tỉ</w:t>
      </w:r>
      <w:r w:rsidR="00A64E4E" w:rsidRPr="00BA118E">
        <w:rPr>
          <w:bCs/>
          <w:szCs w:val="28"/>
          <w:lang w:val="nl-NL"/>
        </w:rPr>
        <w:t xml:space="preserve">nh trình </w:t>
      </w:r>
      <w:r w:rsidR="005A751A" w:rsidRPr="00BA118E">
        <w:rPr>
          <w:szCs w:val="28"/>
          <w:lang w:val="nl-NL"/>
        </w:rPr>
        <w:t>Hội đồng nhân dân tỉnh</w:t>
      </w:r>
      <w:r w:rsidR="00A64E4E" w:rsidRPr="00BA118E">
        <w:rPr>
          <w:bCs/>
          <w:szCs w:val="28"/>
          <w:lang w:val="nl-NL"/>
        </w:rPr>
        <w:t xml:space="preserve"> </w:t>
      </w:r>
      <w:r w:rsidRPr="00BA118E">
        <w:rPr>
          <w:bCs/>
          <w:szCs w:val="28"/>
          <w:lang w:val="nl-NL"/>
        </w:rPr>
        <w:t xml:space="preserve">xem xét, quyết định </w:t>
      </w:r>
      <w:r w:rsidR="00A0598A" w:rsidRPr="00BA118E">
        <w:rPr>
          <w:b/>
          <w:szCs w:val="28"/>
          <w:lang w:val="nl-NL"/>
        </w:rPr>
        <w:t>1</w:t>
      </w:r>
      <w:r w:rsidR="003963A1" w:rsidRPr="00BA118E">
        <w:rPr>
          <w:b/>
          <w:szCs w:val="28"/>
          <w:lang w:val="nl-NL"/>
        </w:rPr>
        <w:t>8</w:t>
      </w:r>
      <w:r w:rsidRPr="00BA118E">
        <w:rPr>
          <w:b/>
          <w:szCs w:val="28"/>
          <w:lang w:val="nl-NL"/>
        </w:rPr>
        <w:t xml:space="preserve"> dự thảo Nghị quyết</w:t>
      </w:r>
      <w:r w:rsidR="001E28AA" w:rsidRPr="00BA118E">
        <w:rPr>
          <w:bCs/>
          <w:szCs w:val="28"/>
          <w:lang w:val="nl-NL"/>
        </w:rPr>
        <w:t xml:space="preserve"> thuộc lĩnh vực phụ trách của </w:t>
      </w:r>
      <w:r w:rsidR="001E28AA" w:rsidRPr="00BA118E">
        <w:rPr>
          <w:szCs w:val="28"/>
          <w:lang w:val="nl-NL"/>
        </w:rPr>
        <w:t>Ban Kinh tế - Ngân sách</w:t>
      </w:r>
      <w:r w:rsidR="00825EE8" w:rsidRPr="00BA118E">
        <w:rPr>
          <w:szCs w:val="28"/>
          <w:lang w:val="nl-NL"/>
        </w:rPr>
        <w:t>.</w:t>
      </w:r>
      <w:r w:rsidR="00FD313B" w:rsidRPr="00BA118E">
        <w:rPr>
          <w:szCs w:val="28"/>
          <w:lang w:val="nl-NL"/>
        </w:rPr>
        <w:t xml:space="preserve"> Trong đó: </w:t>
      </w:r>
      <w:r w:rsidR="00FD313B" w:rsidRPr="00FA55BF">
        <w:rPr>
          <w:bCs/>
          <w:szCs w:val="28"/>
          <w:lang w:val="nl-NL"/>
        </w:rPr>
        <w:t>có 0</w:t>
      </w:r>
      <w:r w:rsidR="00E900F0" w:rsidRPr="00FA55BF">
        <w:rPr>
          <w:bCs/>
          <w:szCs w:val="28"/>
          <w:lang w:val="nl-NL"/>
        </w:rPr>
        <w:t>4</w:t>
      </w:r>
      <w:r w:rsidR="00FD313B" w:rsidRPr="00FA55BF">
        <w:rPr>
          <w:bCs/>
          <w:szCs w:val="28"/>
          <w:lang w:val="nl-NL"/>
        </w:rPr>
        <w:t xml:space="preserve"> Nghị quyết quy phạm pháp luật và 1</w:t>
      </w:r>
      <w:r w:rsidR="003963A1" w:rsidRPr="00FA55BF">
        <w:rPr>
          <w:bCs/>
          <w:szCs w:val="28"/>
          <w:lang w:val="nl-NL"/>
        </w:rPr>
        <w:t>4</w:t>
      </w:r>
      <w:r w:rsidR="00FD313B" w:rsidRPr="00FA55BF">
        <w:rPr>
          <w:bCs/>
          <w:szCs w:val="28"/>
          <w:lang w:val="nl-NL"/>
        </w:rPr>
        <w:t xml:space="preserve"> Nghị quyết thường.</w:t>
      </w:r>
    </w:p>
    <w:p w14:paraId="2AAAF06E" w14:textId="50514331" w:rsidR="00A605C3" w:rsidRPr="00BA118E" w:rsidRDefault="001F4B5E" w:rsidP="005B7DAC">
      <w:pPr>
        <w:spacing w:before="120" w:after="120" w:line="288" w:lineRule="auto"/>
        <w:ind w:firstLine="709"/>
        <w:jc w:val="both"/>
        <w:rPr>
          <w:b/>
          <w:bCs/>
          <w:szCs w:val="28"/>
          <w:lang w:val="nl-NL"/>
        </w:rPr>
      </w:pPr>
      <w:r w:rsidRPr="00BA118E">
        <w:rPr>
          <w:b/>
          <w:bCs/>
          <w:szCs w:val="28"/>
          <w:lang w:val="nl-NL"/>
        </w:rPr>
        <w:tab/>
        <w:t xml:space="preserve">II. </w:t>
      </w:r>
      <w:r w:rsidR="00A605C3" w:rsidRPr="00BA118E">
        <w:rPr>
          <w:b/>
          <w:bCs/>
          <w:szCs w:val="28"/>
          <w:lang w:val="nl-NL"/>
        </w:rPr>
        <w:t xml:space="preserve">Kết quả thẩm tra các dự thảo Nghị quyết trình </w:t>
      </w:r>
      <w:r w:rsidR="00F33536" w:rsidRPr="00BA118E">
        <w:rPr>
          <w:b/>
          <w:bCs/>
          <w:szCs w:val="28"/>
          <w:lang w:val="nl-NL"/>
        </w:rPr>
        <w:t xml:space="preserve">Kỳ </w:t>
      </w:r>
      <w:r w:rsidR="00A605C3" w:rsidRPr="00BA118E">
        <w:rPr>
          <w:b/>
          <w:bCs/>
          <w:szCs w:val="28"/>
          <w:lang w:val="nl-NL"/>
        </w:rPr>
        <w:t xml:space="preserve">họp </w:t>
      </w:r>
      <w:r w:rsidR="00B478E8" w:rsidRPr="00BA118E">
        <w:rPr>
          <w:b/>
          <w:bCs/>
          <w:szCs w:val="28"/>
          <w:lang w:val="nl-NL"/>
        </w:rPr>
        <w:t>chuyên đề</w:t>
      </w:r>
      <w:r w:rsidR="00A605C3" w:rsidRPr="00BA118E">
        <w:rPr>
          <w:b/>
          <w:bCs/>
          <w:szCs w:val="28"/>
          <w:lang w:val="nl-NL"/>
        </w:rPr>
        <w:t>, Hội đồng nhân dân tỉnh khóa X</w:t>
      </w:r>
      <w:r w:rsidR="007376E3" w:rsidRPr="00BA118E">
        <w:rPr>
          <w:b/>
          <w:bCs/>
          <w:szCs w:val="28"/>
          <w:lang w:val="nl-NL"/>
        </w:rPr>
        <w:t>I</w:t>
      </w:r>
      <w:r w:rsidR="00A605C3" w:rsidRPr="00BA118E">
        <w:rPr>
          <w:b/>
          <w:bCs/>
          <w:szCs w:val="28"/>
          <w:lang w:val="nl-NL"/>
        </w:rPr>
        <w:t>I.</w:t>
      </w:r>
    </w:p>
    <w:p w14:paraId="2AAAF070" w14:textId="57033F02" w:rsidR="00012BAF" w:rsidRPr="00BA118E" w:rsidRDefault="00012BAF" w:rsidP="005B7DAC">
      <w:pPr>
        <w:spacing w:before="120" w:after="120" w:line="288" w:lineRule="auto"/>
        <w:ind w:firstLine="709"/>
        <w:jc w:val="both"/>
        <w:rPr>
          <w:szCs w:val="28"/>
          <w:lang w:val="de-DE"/>
        </w:rPr>
      </w:pPr>
      <w:r w:rsidRPr="00BA118E">
        <w:rPr>
          <w:szCs w:val="28"/>
          <w:lang w:val="de-DE"/>
        </w:rPr>
        <w:t>Qua thẩm tra,</w:t>
      </w:r>
      <w:r w:rsidRPr="00BA118E">
        <w:rPr>
          <w:szCs w:val="28"/>
          <w:lang w:val="nl-NL"/>
        </w:rPr>
        <w:t xml:space="preserve"> </w:t>
      </w:r>
      <w:r w:rsidRPr="00BA118E">
        <w:rPr>
          <w:szCs w:val="28"/>
          <w:lang w:val="vi-VN"/>
        </w:rPr>
        <w:t xml:space="preserve">Ban Kinh tế - Ngân </w:t>
      </w:r>
      <w:r w:rsidRPr="006A1C78">
        <w:rPr>
          <w:szCs w:val="28"/>
          <w:lang w:val="vi-VN"/>
        </w:rPr>
        <w:t xml:space="preserve">sách </w:t>
      </w:r>
      <w:r w:rsidR="001063EB" w:rsidRPr="006A1C78">
        <w:rPr>
          <w:szCs w:val="28"/>
          <w:lang w:val="vi-VN"/>
        </w:rPr>
        <w:t xml:space="preserve">cơ bản </w:t>
      </w:r>
      <w:r w:rsidR="00FD313B" w:rsidRPr="00FA55BF">
        <w:rPr>
          <w:szCs w:val="28"/>
          <w:lang w:val="nl-NL"/>
        </w:rPr>
        <w:t>thống nhất</w:t>
      </w:r>
      <w:r w:rsidRPr="00BA118E">
        <w:rPr>
          <w:szCs w:val="28"/>
          <w:lang w:val="vi-VN"/>
        </w:rPr>
        <w:t xml:space="preserve"> </w:t>
      </w:r>
      <w:r w:rsidRPr="00BA118E">
        <w:rPr>
          <w:szCs w:val="28"/>
          <w:lang w:val="nl-NL"/>
        </w:rPr>
        <w:t xml:space="preserve">với các nội dung Ủy ban nhân dân tỉnh trình, </w:t>
      </w:r>
      <w:r w:rsidRPr="00BA118E">
        <w:rPr>
          <w:szCs w:val="28"/>
          <w:lang w:val="de-DE"/>
        </w:rPr>
        <w:t xml:space="preserve">đồng thời đề xuất một số nội dung cần sửa đổi, bổ sung cho phù hợp, đề nghị </w:t>
      </w:r>
      <w:r w:rsidRPr="00BA118E">
        <w:rPr>
          <w:szCs w:val="28"/>
          <w:lang w:val="nl-NL"/>
        </w:rPr>
        <w:t xml:space="preserve">Ủy ban nhân dân tỉnh tiếp thu, </w:t>
      </w:r>
      <w:r w:rsidRPr="00BA118E">
        <w:rPr>
          <w:szCs w:val="28"/>
          <w:lang w:val="de-DE"/>
        </w:rPr>
        <w:t>giải trình làm rõ</w:t>
      </w:r>
      <w:r w:rsidR="000E7D19" w:rsidRPr="00BA118E">
        <w:rPr>
          <w:szCs w:val="28"/>
          <w:lang w:val="de-DE"/>
        </w:rPr>
        <w:t xml:space="preserve"> một số nội dung</w:t>
      </w:r>
      <w:r w:rsidRPr="00BA118E">
        <w:rPr>
          <w:szCs w:val="28"/>
          <w:lang w:val="de-DE"/>
        </w:rPr>
        <w:t xml:space="preserve"> </w:t>
      </w:r>
      <w:r w:rsidRPr="00BA118E">
        <w:rPr>
          <w:i/>
          <w:szCs w:val="28"/>
          <w:lang w:val="de-DE"/>
        </w:rPr>
        <w:t>(chi tiết tại Phụ lụ</w:t>
      </w:r>
      <w:r w:rsidR="00460318" w:rsidRPr="00BA118E">
        <w:rPr>
          <w:i/>
          <w:szCs w:val="28"/>
          <w:lang w:val="de-DE"/>
        </w:rPr>
        <w:t>c kèm theo)</w:t>
      </w:r>
      <w:r w:rsidR="00460318" w:rsidRPr="00BA118E">
        <w:rPr>
          <w:szCs w:val="28"/>
          <w:lang w:val="de-DE"/>
        </w:rPr>
        <w:t xml:space="preserve">. </w:t>
      </w:r>
      <w:r w:rsidRPr="00BA118E">
        <w:rPr>
          <w:szCs w:val="28"/>
          <w:lang w:val="vi-VN"/>
        </w:rPr>
        <w:t xml:space="preserve">Ban Kinh tế - Ngân sách </w:t>
      </w:r>
      <w:r w:rsidRPr="00BA118E">
        <w:rPr>
          <w:szCs w:val="28"/>
          <w:lang w:val="de-DE"/>
        </w:rPr>
        <w:t>xin trình bày một số nội dung chủ yếu sau:</w:t>
      </w:r>
    </w:p>
    <w:p w14:paraId="540E5133" w14:textId="7BC70CC4" w:rsidR="00E62923" w:rsidRPr="00BA118E" w:rsidRDefault="00E62923" w:rsidP="005B7DAC">
      <w:pPr>
        <w:pStyle w:val="ListParagraph"/>
        <w:numPr>
          <w:ilvl w:val="0"/>
          <w:numId w:val="2"/>
        </w:numPr>
        <w:tabs>
          <w:tab w:val="left" w:pos="1134"/>
        </w:tabs>
        <w:spacing w:before="120" w:after="120" w:line="288" w:lineRule="auto"/>
        <w:ind w:left="0" w:firstLine="709"/>
        <w:jc w:val="both"/>
        <w:rPr>
          <w:b/>
          <w:szCs w:val="28"/>
          <w:lang w:val="nl-NL"/>
        </w:rPr>
      </w:pPr>
      <w:bookmarkStart w:id="0" w:name="_Hlk85022108"/>
      <w:r w:rsidRPr="00BA118E">
        <w:rPr>
          <w:b/>
          <w:bCs/>
          <w:szCs w:val="28"/>
          <w:lang w:val="nl-NL"/>
        </w:rPr>
        <w:t xml:space="preserve">Nghị quyết về </w:t>
      </w:r>
      <w:r w:rsidRPr="00BA118E">
        <w:rPr>
          <w:b/>
          <w:bCs/>
          <w:position w:val="2"/>
          <w:szCs w:val="28"/>
          <w:lang w:val="nl-NL"/>
        </w:rPr>
        <w:t>Kế hoạch đầu tư công trung</w:t>
      </w:r>
      <w:r w:rsidRPr="00BA118E">
        <w:rPr>
          <w:b/>
          <w:position w:val="2"/>
          <w:szCs w:val="28"/>
          <w:lang w:val="nl-NL"/>
        </w:rPr>
        <w:t xml:space="preserve"> hạn giai đoạn 2021-2025 nguồn ngân sách địa phương tỉnh Kon Tum. </w:t>
      </w:r>
    </w:p>
    <w:p w14:paraId="6C05A980" w14:textId="0DAD2DA5" w:rsidR="00926C29" w:rsidRPr="00BA118E" w:rsidRDefault="00926C29" w:rsidP="005B7DAC">
      <w:pPr>
        <w:widowControl w:val="0"/>
        <w:spacing w:before="120" w:after="120" w:line="288" w:lineRule="auto"/>
        <w:ind w:firstLine="709"/>
        <w:jc w:val="both"/>
        <w:rPr>
          <w:szCs w:val="28"/>
        </w:rPr>
      </w:pPr>
      <w:r w:rsidRPr="00FA55BF">
        <w:rPr>
          <w:szCs w:val="28"/>
          <w:lang w:val="nl-NL"/>
        </w:rPr>
        <w:t>Trên cơ sở mức vốn được Trung ương giao</w:t>
      </w:r>
      <w:r w:rsidR="00E900F0" w:rsidRPr="00FA55BF">
        <w:rPr>
          <w:szCs w:val="28"/>
          <w:vertAlign w:val="superscript"/>
          <w:lang w:val="nl-NL"/>
        </w:rPr>
        <w:t>(</w:t>
      </w:r>
      <w:r w:rsidR="00E900F0" w:rsidRPr="00BA118E">
        <w:rPr>
          <w:rStyle w:val="FootnoteReference"/>
          <w:szCs w:val="28"/>
        </w:rPr>
        <w:footnoteReference w:id="1"/>
      </w:r>
      <w:r w:rsidR="00E900F0" w:rsidRPr="00FA55BF">
        <w:rPr>
          <w:szCs w:val="28"/>
          <w:vertAlign w:val="superscript"/>
          <w:lang w:val="nl-NL"/>
        </w:rPr>
        <w:t>)</w:t>
      </w:r>
      <w:r w:rsidRPr="00FA55BF">
        <w:rPr>
          <w:szCs w:val="28"/>
          <w:lang w:val="nl-NL"/>
        </w:rPr>
        <w:t>, t</w:t>
      </w:r>
      <w:r w:rsidRPr="00BA118E">
        <w:rPr>
          <w:szCs w:val="28"/>
          <w:lang w:val="nl-NL"/>
        </w:rPr>
        <w:t xml:space="preserve">ổng kế hoạch vốn đầu tư công trung hạn giai đoạn 2021-2025 nguồn ngân sách nhà nước của tỉnh Kon Tum là </w:t>
      </w:r>
      <w:r w:rsidRPr="00BA118E">
        <w:rPr>
          <w:b/>
          <w:bCs/>
          <w:szCs w:val="28"/>
          <w:lang w:val="nl-NL"/>
        </w:rPr>
        <w:t xml:space="preserve">9.600.280 </w:t>
      </w:r>
      <w:r w:rsidRPr="00BA118E">
        <w:rPr>
          <w:szCs w:val="28"/>
          <w:lang w:val="nl-NL"/>
        </w:rPr>
        <w:t xml:space="preserve">triệu đồng. Theo đó, tỉnh giao tăng hơn mức vốn Trung ương là </w:t>
      </w:r>
      <w:r w:rsidRPr="00BA118E">
        <w:rPr>
          <w:b/>
          <w:szCs w:val="28"/>
          <w:lang w:val="nl-NL"/>
        </w:rPr>
        <w:t xml:space="preserve">3.354.780 </w:t>
      </w:r>
      <w:r w:rsidRPr="00BA118E">
        <w:rPr>
          <w:szCs w:val="28"/>
          <w:lang w:val="nl-NL"/>
        </w:rPr>
        <w:t xml:space="preserve">triệu đồng. </w:t>
      </w:r>
      <w:r w:rsidRPr="00BA118E">
        <w:rPr>
          <w:szCs w:val="28"/>
        </w:rPr>
        <w:t>Cụ thể như sau:</w:t>
      </w:r>
    </w:p>
    <w:p w14:paraId="358D67F7" w14:textId="77777777" w:rsidR="005B7DAC" w:rsidRPr="00BA118E" w:rsidRDefault="005B7DAC" w:rsidP="005A7E34">
      <w:pPr>
        <w:widowControl w:val="0"/>
        <w:ind w:firstLine="709"/>
        <w:jc w:val="right"/>
        <w:rPr>
          <w:i/>
          <w:szCs w:val="28"/>
        </w:rPr>
      </w:pPr>
    </w:p>
    <w:p w14:paraId="2E32CE4C" w14:textId="77777777" w:rsidR="005B7DAC" w:rsidRPr="00BA118E" w:rsidRDefault="005B7DAC" w:rsidP="005A7E34">
      <w:pPr>
        <w:widowControl w:val="0"/>
        <w:ind w:firstLine="709"/>
        <w:jc w:val="right"/>
        <w:rPr>
          <w:i/>
          <w:szCs w:val="28"/>
        </w:rPr>
      </w:pPr>
    </w:p>
    <w:p w14:paraId="30448159" w14:textId="0CDA4FC4" w:rsidR="00926C29" w:rsidRPr="00BA118E" w:rsidRDefault="00926C29" w:rsidP="005A7E34">
      <w:pPr>
        <w:widowControl w:val="0"/>
        <w:ind w:firstLine="709"/>
        <w:jc w:val="right"/>
        <w:rPr>
          <w:i/>
          <w:szCs w:val="28"/>
        </w:rPr>
      </w:pPr>
      <w:r w:rsidRPr="00BA118E">
        <w:rPr>
          <w:i/>
          <w:szCs w:val="28"/>
        </w:rPr>
        <w:lastRenderedPageBreak/>
        <w:t>ĐVT: Triệu đồng</w:t>
      </w:r>
    </w:p>
    <w:tbl>
      <w:tblPr>
        <w:tblW w:w="9371" w:type="dxa"/>
        <w:tblInd w:w="93" w:type="dxa"/>
        <w:tblLook w:val="0000" w:firstRow="0" w:lastRow="0" w:firstColumn="0" w:lastColumn="0" w:noHBand="0" w:noVBand="0"/>
      </w:tblPr>
      <w:tblGrid>
        <w:gridCol w:w="708"/>
        <w:gridCol w:w="2365"/>
        <w:gridCol w:w="1256"/>
        <w:gridCol w:w="1256"/>
        <w:gridCol w:w="1256"/>
        <w:gridCol w:w="1141"/>
        <w:gridCol w:w="1389"/>
      </w:tblGrid>
      <w:tr w:rsidR="00BA118E" w:rsidRPr="00BA118E" w14:paraId="0CFC54DF" w14:textId="77777777" w:rsidTr="00300568">
        <w:trPr>
          <w:trHeight w:val="597"/>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4F22F1E6" w14:textId="77777777" w:rsidR="00926C29" w:rsidRPr="00BA118E" w:rsidRDefault="00926C29" w:rsidP="00414F3A">
            <w:pPr>
              <w:jc w:val="center"/>
              <w:rPr>
                <w:b/>
                <w:bCs/>
                <w:sz w:val="26"/>
                <w:szCs w:val="26"/>
              </w:rPr>
            </w:pPr>
            <w:r w:rsidRPr="00BA118E">
              <w:rPr>
                <w:b/>
                <w:bCs/>
                <w:sz w:val="26"/>
                <w:szCs w:val="26"/>
              </w:rPr>
              <w:t>STT</w:t>
            </w:r>
          </w:p>
        </w:tc>
        <w:tc>
          <w:tcPr>
            <w:tcW w:w="2365" w:type="dxa"/>
            <w:vMerge w:val="restart"/>
            <w:tcBorders>
              <w:top w:val="single" w:sz="4" w:space="0" w:color="auto"/>
              <w:left w:val="single" w:sz="4" w:space="0" w:color="auto"/>
              <w:bottom w:val="single" w:sz="4" w:space="0" w:color="auto"/>
              <w:right w:val="single" w:sz="4" w:space="0" w:color="auto"/>
            </w:tcBorders>
            <w:vAlign w:val="center"/>
          </w:tcPr>
          <w:p w14:paraId="0AA6D1BC" w14:textId="77777777" w:rsidR="00926C29" w:rsidRPr="00BA118E" w:rsidRDefault="00926C29" w:rsidP="00414F3A">
            <w:pPr>
              <w:jc w:val="center"/>
              <w:rPr>
                <w:b/>
                <w:bCs/>
                <w:sz w:val="26"/>
                <w:szCs w:val="26"/>
              </w:rPr>
            </w:pPr>
            <w:r w:rsidRPr="00BA118E">
              <w:rPr>
                <w:b/>
                <w:bCs/>
                <w:sz w:val="26"/>
                <w:szCs w:val="26"/>
              </w:rPr>
              <w:t>Nguồn vốn đầu tư</w:t>
            </w:r>
          </w:p>
        </w:tc>
        <w:tc>
          <w:tcPr>
            <w:tcW w:w="1256" w:type="dxa"/>
            <w:vMerge w:val="restart"/>
            <w:tcBorders>
              <w:top w:val="single" w:sz="4" w:space="0" w:color="auto"/>
              <w:left w:val="single" w:sz="4" w:space="0" w:color="auto"/>
              <w:bottom w:val="single" w:sz="4" w:space="0" w:color="000000"/>
              <w:right w:val="nil"/>
            </w:tcBorders>
            <w:vAlign w:val="center"/>
          </w:tcPr>
          <w:p w14:paraId="3CC8D038" w14:textId="77777777" w:rsidR="00926C29" w:rsidRPr="00BA118E" w:rsidRDefault="00926C29" w:rsidP="00414F3A">
            <w:pPr>
              <w:jc w:val="center"/>
              <w:rPr>
                <w:b/>
                <w:bCs/>
                <w:sz w:val="26"/>
                <w:szCs w:val="26"/>
              </w:rPr>
            </w:pPr>
            <w:r w:rsidRPr="00BA118E">
              <w:rPr>
                <w:b/>
                <w:bCs/>
                <w:sz w:val="26"/>
                <w:szCs w:val="26"/>
              </w:rPr>
              <w:t>Trung ương giao</w:t>
            </w:r>
          </w:p>
        </w:tc>
        <w:tc>
          <w:tcPr>
            <w:tcW w:w="3653" w:type="dxa"/>
            <w:gridSpan w:val="3"/>
            <w:tcBorders>
              <w:top w:val="single" w:sz="4" w:space="0" w:color="auto"/>
              <w:left w:val="single" w:sz="4" w:space="0" w:color="auto"/>
              <w:bottom w:val="single" w:sz="4" w:space="0" w:color="auto"/>
              <w:right w:val="single" w:sz="4" w:space="0" w:color="auto"/>
            </w:tcBorders>
            <w:vAlign w:val="center"/>
          </w:tcPr>
          <w:p w14:paraId="7EE8D3A6" w14:textId="77777777" w:rsidR="00926C29" w:rsidRPr="00BA118E" w:rsidRDefault="00926C29" w:rsidP="00414F3A">
            <w:pPr>
              <w:jc w:val="center"/>
              <w:rPr>
                <w:b/>
                <w:bCs/>
                <w:sz w:val="26"/>
                <w:szCs w:val="26"/>
              </w:rPr>
            </w:pPr>
            <w:r w:rsidRPr="00BA118E">
              <w:rPr>
                <w:b/>
                <w:bCs/>
                <w:sz w:val="26"/>
                <w:szCs w:val="26"/>
              </w:rPr>
              <w:t>Địa phương giao</w:t>
            </w:r>
          </w:p>
        </w:tc>
        <w:tc>
          <w:tcPr>
            <w:tcW w:w="1389" w:type="dxa"/>
            <w:vMerge w:val="restart"/>
            <w:tcBorders>
              <w:top w:val="single" w:sz="4" w:space="0" w:color="auto"/>
              <w:left w:val="single" w:sz="4" w:space="0" w:color="auto"/>
              <w:bottom w:val="nil"/>
              <w:right w:val="single" w:sz="4" w:space="0" w:color="auto"/>
            </w:tcBorders>
            <w:vAlign w:val="center"/>
          </w:tcPr>
          <w:p w14:paraId="450C894E" w14:textId="77777777" w:rsidR="00926C29" w:rsidRPr="00BA118E" w:rsidRDefault="00926C29" w:rsidP="00414F3A">
            <w:pPr>
              <w:jc w:val="center"/>
              <w:rPr>
                <w:b/>
                <w:bCs/>
                <w:sz w:val="26"/>
                <w:szCs w:val="26"/>
              </w:rPr>
            </w:pPr>
            <w:r w:rsidRPr="00BA118E">
              <w:rPr>
                <w:b/>
                <w:bCs/>
                <w:sz w:val="26"/>
                <w:szCs w:val="26"/>
              </w:rPr>
              <w:t>Tăng (+)/Giảm (-) so với kế hoạch vốn của Trung ương giao</w:t>
            </w:r>
          </w:p>
        </w:tc>
      </w:tr>
      <w:tr w:rsidR="00BA118E" w:rsidRPr="00BA118E" w14:paraId="5B38E540" w14:textId="77777777" w:rsidTr="00300568">
        <w:trPr>
          <w:trHeight w:val="563"/>
        </w:trPr>
        <w:tc>
          <w:tcPr>
            <w:tcW w:w="708" w:type="dxa"/>
            <w:vMerge/>
            <w:tcBorders>
              <w:top w:val="single" w:sz="4" w:space="0" w:color="auto"/>
              <w:left w:val="single" w:sz="4" w:space="0" w:color="auto"/>
              <w:bottom w:val="single" w:sz="4" w:space="0" w:color="auto"/>
              <w:right w:val="single" w:sz="4" w:space="0" w:color="auto"/>
            </w:tcBorders>
            <w:vAlign w:val="center"/>
          </w:tcPr>
          <w:p w14:paraId="4750B931" w14:textId="77777777" w:rsidR="00926C29" w:rsidRPr="00BA118E" w:rsidRDefault="00926C29" w:rsidP="00414F3A">
            <w:pPr>
              <w:jc w:val="center"/>
              <w:rPr>
                <w:sz w:val="26"/>
                <w:szCs w:val="26"/>
              </w:rPr>
            </w:pPr>
          </w:p>
        </w:tc>
        <w:tc>
          <w:tcPr>
            <w:tcW w:w="2365" w:type="dxa"/>
            <w:vMerge/>
            <w:tcBorders>
              <w:top w:val="single" w:sz="4" w:space="0" w:color="auto"/>
              <w:left w:val="single" w:sz="4" w:space="0" w:color="auto"/>
              <w:bottom w:val="single" w:sz="4" w:space="0" w:color="auto"/>
              <w:right w:val="single" w:sz="4" w:space="0" w:color="auto"/>
            </w:tcBorders>
            <w:vAlign w:val="center"/>
          </w:tcPr>
          <w:p w14:paraId="7EDD5FE5" w14:textId="77777777" w:rsidR="00926C29" w:rsidRPr="00BA118E" w:rsidRDefault="00926C29" w:rsidP="00414F3A">
            <w:pPr>
              <w:jc w:val="both"/>
              <w:rPr>
                <w:sz w:val="26"/>
                <w:szCs w:val="26"/>
              </w:rPr>
            </w:pPr>
          </w:p>
        </w:tc>
        <w:tc>
          <w:tcPr>
            <w:tcW w:w="1256" w:type="dxa"/>
            <w:vMerge/>
            <w:tcBorders>
              <w:top w:val="single" w:sz="4" w:space="0" w:color="auto"/>
              <w:left w:val="single" w:sz="4" w:space="0" w:color="auto"/>
              <w:bottom w:val="single" w:sz="4" w:space="0" w:color="000000"/>
              <w:right w:val="nil"/>
            </w:tcBorders>
            <w:vAlign w:val="center"/>
          </w:tcPr>
          <w:p w14:paraId="0DB4BEE5" w14:textId="77777777" w:rsidR="00926C29" w:rsidRPr="00BA118E" w:rsidRDefault="00926C29" w:rsidP="00414F3A">
            <w:pPr>
              <w:jc w:val="both"/>
              <w:rPr>
                <w:sz w:val="26"/>
                <w:szCs w:val="26"/>
              </w:rPr>
            </w:pPr>
          </w:p>
        </w:tc>
        <w:tc>
          <w:tcPr>
            <w:tcW w:w="1256" w:type="dxa"/>
            <w:vMerge w:val="restart"/>
            <w:tcBorders>
              <w:top w:val="nil"/>
              <w:left w:val="single" w:sz="4" w:space="0" w:color="auto"/>
              <w:bottom w:val="single" w:sz="4" w:space="0" w:color="auto"/>
              <w:right w:val="single" w:sz="4" w:space="0" w:color="auto"/>
            </w:tcBorders>
            <w:vAlign w:val="center"/>
          </w:tcPr>
          <w:p w14:paraId="6A0BFD7A" w14:textId="77777777" w:rsidR="00926C29" w:rsidRPr="00BA118E" w:rsidRDefault="00926C29" w:rsidP="00250875">
            <w:pPr>
              <w:jc w:val="center"/>
              <w:rPr>
                <w:b/>
                <w:bCs/>
                <w:sz w:val="26"/>
                <w:szCs w:val="26"/>
              </w:rPr>
            </w:pPr>
            <w:r w:rsidRPr="00BA118E">
              <w:rPr>
                <w:b/>
                <w:bCs/>
                <w:sz w:val="26"/>
                <w:szCs w:val="26"/>
              </w:rPr>
              <w:t>Tổng số</w:t>
            </w:r>
          </w:p>
        </w:tc>
        <w:tc>
          <w:tcPr>
            <w:tcW w:w="2397" w:type="dxa"/>
            <w:gridSpan w:val="2"/>
            <w:tcBorders>
              <w:top w:val="single" w:sz="4" w:space="0" w:color="auto"/>
              <w:left w:val="nil"/>
              <w:bottom w:val="single" w:sz="4" w:space="0" w:color="auto"/>
              <w:right w:val="single" w:sz="4" w:space="0" w:color="000000"/>
            </w:tcBorders>
            <w:vAlign w:val="center"/>
          </w:tcPr>
          <w:p w14:paraId="69082A8D" w14:textId="77777777" w:rsidR="00926C29" w:rsidRPr="00BA118E" w:rsidRDefault="00926C29" w:rsidP="00414F3A">
            <w:pPr>
              <w:jc w:val="both"/>
              <w:rPr>
                <w:b/>
                <w:bCs/>
                <w:sz w:val="26"/>
                <w:szCs w:val="26"/>
              </w:rPr>
            </w:pPr>
            <w:r w:rsidRPr="00BA118E">
              <w:rPr>
                <w:b/>
                <w:bCs/>
                <w:sz w:val="26"/>
                <w:szCs w:val="26"/>
              </w:rPr>
              <w:t>Trong đó:</w:t>
            </w:r>
          </w:p>
        </w:tc>
        <w:tc>
          <w:tcPr>
            <w:tcW w:w="1389" w:type="dxa"/>
            <w:vMerge/>
            <w:tcBorders>
              <w:top w:val="single" w:sz="4" w:space="0" w:color="auto"/>
              <w:left w:val="single" w:sz="4" w:space="0" w:color="auto"/>
              <w:bottom w:val="nil"/>
              <w:right w:val="single" w:sz="4" w:space="0" w:color="auto"/>
            </w:tcBorders>
            <w:vAlign w:val="center"/>
          </w:tcPr>
          <w:p w14:paraId="79555F60" w14:textId="77777777" w:rsidR="00926C29" w:rsidRPr="00BA118E" w:rsidRDefault="00926C29" w:rsidP="00414F3A">
            <w:pPr>
              <w:jc w:val="both"/>
              <w:rPr>
                <w:sz w:val="26"/>
                <w:szCs w:val="26"/>
              </w:rPr>
            </w:pPr>
          </w:p>
        </w:tc>
      </w:tr>
      <w:tr w:rsidR="00BA118E" w:rsidRPr="00BA118E" w14:paraId="60BFA20C" w14:textId="77777777" w:rsidTr="00300568">
        <w:trPr>
          <w:trHeight w:val="525"/>
        </w:trPr>
        <w:tc>
          <w:tcPr>
            <w:tcW w:w="708" w:type="dxa"/>
            <w:vMerge/>
            <w:tcBorders>
              <w:top w:val="single" w:sz="4" w:space="0" w:color="auto"/>
              <w:left w:val="single" w:sz="4" w:space="0" w:color="auto"/>
              <w:bottom w:val="single" w:sz="4" w:space="0" w:color="auto"/>
              <w:right w:val="single" w:sz="4" w:space="0" w:color="auto"/>
            </w:tcBorders>
            <w:vAlign w:val="center"/>
          </w:tcPr>
          <w:p w14:paraId="30BFC05C" w14:textId="77777777" w:rsidR="00926C29" w:rsidRPr="00BA118E" w:rsidRDefault="00926C29" w:rsidP="00414F3A">
            <w:pPr>
              <w:jc w:val="center"/>
              <w:rPr>
                <w:sz w:val="26"/>
                <w:szCs w:val="26"/>
              </w:rPr>
            </w:pPr>
          </w:p>
        </w:tc>
        <w:tc>
          <w:tcPr>
            <w:tcW w:w="2365" w:type="dxa"/>
            <w:vMerge/>
            <w:tcBorders>
              <w:top w:val="single" w:sz="4" w:space="0" w:color="auto"/>
              <w:left w:val="single" w:sz="4" w:space="0" w:color="auto"/>
              <w:bottom w:val="single" w:sz="4" w:space="0" w:color="auto"/>
              <w:right w:val="single" w:sz="4" w:space="0" w:color="auto"/>
            </w:tcBorders>
            <w:vAlign w:val="center"/>
          </w:tcPr>
          <w:p w14:paraId="474369C8" w14:textId="77777777" w:rsidR="00926C29" w:rsidRPr="00BA118E" w:rsidRDefault="00926C29" w:rsidP="00414F3A">
            <w:pPr>
              <w:jc w:val="both"/>
              <w:rPr>
                <w:sz w:val="26"/>
                <w:szCs w:val="26"/>
              </w:rPr>
            </w:pPr>
          </w:p>
        </w:tc>
        <w:tc>
          <w:tcPr>
            <w:tcW w:w="1256" w:type="dxa"/>
            <w:vMerge/>
            <w:tcBorders>
              <w:top w:val="single" w:sz="4" w:space="0" w:color="auto"/>
              <w:left w:val="single" w:sz="4" w:space="0" w:color="auto"/>
              <w:bottom w:val="single" w:sz="4" w:space="0" w:color="000000"/>
              <w:right w:val="nil"/>
            </w:tcBorders>
            <w:vAlign w:val="center"/>
          </w:tcPr>
          <w:p w14:paraId="003DE7C4" w14:textId="77777777" w:rsidR="00926C29" w:rsidRPr="00BA118E" w:rsidRDefault="00926C29" w:rsidP="00414F3A">
            <w:pPr>
              <w:jc w:val="both"/>
              <w:rPr>
                <w:sz w:val="26"/>
                <w:szCs w:val="26"/>
              </w:rPr>
            </w:pPr>
          </w:p>
        </w:tc>
        <w:tc>
          <w:tcPr>
            <w:tcW w:w="1256" w:type="dxa"/>
            <w:vMerge/>
            <w:tcBorders>
              <w:top w:val="nil"/>
              <w:left w:val="single" w:sz="4" w:space="0" w:color="auto"/>
              <w:bottom w:val="single" w:sz="4" w:space="0" w:color="auto"/>
              <w:right w:val="single" w:sz="4" w:space="0" w:color="auto"/>
            </w:tcBorders>
            <w:vAlign w:val="center"/>
          </w:tcPr>
          <w:p w14:paraId="61F0EFF7" w14:textId="77777777" w:rsidR="00926C29" w:rsidRPr="00BA118E" w:rsidRDefault="00926C29" w:rsidP="00414F3A">
            <w:pPr>
              <w:jc w:val="both"/>
              <w:rPr>
                <w:b/>
                <w:bCs/>
                <w:sz w:val="26"/>
                <w:szCs w:val="26"/>
              </w:rPr>
            </w:pPr>
          </w:p>
        </w:tc>
        <w:tc>
          <w:tcPr>
            <w:tcW w:w="1256" w:type="dxa"/>
            <w:tcBorders>
              <w:top w:val="nil"/>
              <w:left w:val="nil"/>
              <w:bottom w:val="nil"/>
              <w:right w:val="single" w:sz="4" w:space="0" w:color="auto"/>
            </w:tcBorders>
            <w:vAlign w:val="center"/>
          </w:tcPr>
          <w:p w14:paraId="7332C58C" w14:textId="77777777" w:rsidR="00926C29" w:rsidRPr="00BA118E" w:rsidRDefault="00926C29" w:rsidP="00250875">
            <w:pPr>
              <w:jc w:val="center"/>
              <w:rPr>
                <w:b/>
                <w:bCs/>
                <w:sz w:val="26"/>
                <w:szCs w:val="26"/>
              </w:rPr>
            </w:pPr>
            <w:r w:rsidRPr="00BA118E">
              <w:rPr>
                <w:b/>
                <w:bCs/>
                <w:sz w:val="26"/>
                <w:szCs w:val="26"/>
              </w:rPr>
              <w:t>Phân bổ</w:t>
            </w:r>
          </w:p>
        </w:tc>
        <w:tc>
          <w:tcPr>
            <w:tcW w:w="1141" w:type="dxa"/>
            <w:tcBorders>
              <w:top w:val="nil"/>
              <w:left w:val="nil"/>
              <w:bottom w:val="nil"/>
              <w:right w:val="single" w:sz="4" w:space="0" w:color="auto"/>
            </w:tcBorders>
            <w:vAlign w:val="center"/>
          </w:tcPr>
          <w:p w14:paraId="7DD18CE2" w14:textId="77777777" w:rsidR="00926C29" w:rsidRPr="00BA118E" w:rsidRDefault="00926C29" w:rsidP="00250875">
            <w:pPr>
              <w:jc w:val="center"/>
              <w:rPr>
                <w:b/>
                <w:bCs/>
                <w:sz w:val="26"/>
                <w:szCs w:val="26"/>
              </w:rPr>
            </w:pPr>
            <w:r w:rsidRPr="00BA118E">
              <w:rPr>
                <w:b/>
                <w:bCs/>
                <w:sz w:val="26"/>
                <w:szCs w:val="26"/>
              </w:rPr>
              <w:t>Dự phòng</w:t>
            </w:r>
          </w:p>
        </w:tc>
        <w:tc>
          <w:tcPr>
            <w:tcW w:w="1389" w:type="dxa"/>
            <w:vMerge/>
            <w:tcBorders>
              <w:top w:val="single" w:sz="4" w:space="0" w:color="auto"/>
              <w:left w:val="single" w:sz="4" w:space="0" w:color="auto"/>
              <w:bottom w:val="nil"/>
              <w:right w:val="single" w:sz="4" w:space="0" w:color="auto"/>
            </w:tcBorders>
            <w:vAlign w:val="center"/>
          </w:tcPr>
          <w:p w14:paraId="6B16B236" w14:textId="77777777" w:rsidR="00926C29" w:rsidRPr="00BA118E" w:rsidRDefault="00926C29" w:rsidP="00414F3A">
            <w:pPr>
              <w:jc w:val="both"/>
              <w:rPr>
                <w:sz w:val="26"/>
                <w:szCs w:val="26"/>
              </w:rPr>
            </w:pPr>
          </w:p>
        </w:tc>
      </w:tr>
      <w:tr w:rsidR="00BA118E" w:rsidRPr="00BA118E" w14:paraId="5A05A360" w14:textId="77777777" w:rsidTr="00300568">
        <w:trPr>
          <w:trHeight w:val="390"/>
        </w:trPr>
        <w:tc>
          <w:tcPr>
            <w:tcW w:w="708" w:type="dxa"/>
            <w:tcBorders>
              <w:top w:val="single" w:sz="4" w:space="0" w:color="auto"/>
              <w:left w:val="single" w:sz="4" w:space="0" w:color="auto"/>
              <w:bottom w:val="single" w:sz="4" w:space="0" w:color="auto"/>
              <w:right w:val="single" w:sz="4" w:space="0" w:color="auto"/>
            </w:tcBorders>
            <w:vAlign w:val="center"/>
          </w:tcPr>
          <w:p w14:paraId="32B89DDF" w14:textId="77777777" w:rsidR="00926C29" w:rsidRPr="00BA118E" w:rsidRDefault="00926C29" w:rsidP="00414F3A">
            <w:pPr>
              <w:jc w:val="center"/>
              <w:rPr>
                <w:b/>
                <w:bCs/>
                <w:sz w:val="26"/>
                <w:szCs w:val="26"/>
              </w:rPr>
            </w:pPr>
          </w:p>
        </w:tc>
        <w:tc>
          <w:tcPr>
            <w:tcW w:w="2365" w:type="dxa"/>
            <w:tcBorders>
              <w:top w:val="single" w:sz="4" w:space="0" w:color="auto"/>
              <w:left w:val="nil"/>
              <w:bottom w:val="single" w:sz="4" w:space="0" w:color="auto"/>
              <w:right w:val="single" w:sz="4" w:space="0" w:color="auto"/>
            </w:tcBorders>
            <w:vAlign w:val="center"/>
          </w:tcPr>
          <w:p w14:paraId="6F8D42FC" w14:textId="77777777" w:rsidR="00926C29" w:rsidRPr="00BA118E" w:rsidRDefault="00926C29" w:rsidP="00414F3A">
            <w:pPr>
              <w:jc w:val="both"/>
              <w:rPr>
                <w:b/>
                <w:bCs/>
                <w:sz w:val="26"/>
                <w:szCs w:val="26"/>
              </w:rPr>
            </w:pPr>
            <w:r w:rsidRPr="00BA118E">
              <w:rPr>
                <w:b/>
                <w:bCs/>
                <w:sz w:val="26"/>
                <w:szCs w:val="26"/>
              </w:rPr>
              <w:t>VỐN NSĐP</w:t>
            </w:r>
          </w:p>
        </w:tc>
        <w:tc>
          <w:tcPr>
            <w:tcW w:w="1256" w:type="dxa"/>
            <w:tcBorders>
              <w:top w:val="single" w:sz="4" w:space="0" w:color="auto"/>
              <w:left w:val="nil"/>
              <w:bottom w:val="single" w:sz="4" w:space="0" w:color="auto"/>
              <w:right w:val="single" w:sz="4" w:space="0" w:color="auto"/>
            </w:tcBorders>
            <w:vAlign w:val="center"/>
          </w:tcPr>
          <w:p w14:paraId="194FA89F" w14:textId="77777777" w:rsidR="00926C29" w:rsidRPr="00BA118E" w:rsidRDefault="00926C29" w:rsidP="00414F3A">
            <w:pPr>
              <w:jc w:val="both"/>
              <w:rPr>
                <w:b/>
                <w:bCs/>
                <w:sz w:val="26"/>
                <w:szCs w:val="26"/>
              </w:rPr>
            </w:pPr>
            <w:r w:rsidRPr="00BA118E">
              <w:rPr>
                <w:b/>
                <w:bCs/>
                <w:sz w:val="26"/>
                <w:szCs w:val="26"/>
              </w:rPr>
              <w:t>6.245.500</w:t>
            </w:r>
          </w:p>
        </w:tc>
        <w:tc>
          <w:tcPr>
            <w:tcW w:w="1256" w:type="dxa"/>
            <w:tcBorders>
              <w:top w:val="single" w:sz="4" w:space="0" w:color="auto"/>
              <w:left w:val="nil"/>
              <w:bottom w:val="single" w:sz="4" w:space="0" w:color="auto"/>
              <w:right w:val="single" w:sz="4" w:space="0" w:color="auto"/>
            </w:tcBorders>
            <w:vAlign w:val="center"/>
          </w:tcPr>
          <w:p w14:paraId="2004A4F8" w14:textId="77777777" w:rsidR="00926C29" w:rsidRPr="00BA118E" w:rsidRDefault="00926C29" w:rsidP="00414F3A">
            <w:pPr>
              <w:jc w:val="both"/>
              <w:rPr>
                <w:b/>
                <w:bCs/>
                <w:sz w:val="26"/>
                <w:szCs w:val="26"/>
              </w:rPr>
            </w:pPr>
            <w:r w:rsidRPr="00BA118E">
              <w:rPr>
                <w:b/>
                <w:bCs/>
                <w:sz w:val="26"/>
                <w:szCs w:val="26"/>
              </w:rPr>
              <w:t>9.600.280</w:t>
            </w:r>
          </w:p>
        </w:tc>
        <w:tc>
          <w:tcPr>
            <w:tcW w:w="1256" w:type="dxa"/>
            <w:tcBorders>
              <w:top w:val="single" w:sz="4" w:space="0" w:color="auto"/>
              <w:left w:val="nil"/>
              <w:bottom w:val="single" w:sz="4" w:space="0" w:color="auto"/>
              <w:right w:val="single" w:sz="4" w:space="0" w:color="auto"/>
            </w:tcBorders>
            <w:vAlign w:val="center"/>
          </w:tcPr>
          <w:p w14:paraId="6D398353" w14:textId="77777777" w:rsidR="00926C29" w:rsidRPr="00BA118E" w:rsidRDefault="00926C29" w:rsidP="00414F3A">
            <w:pPr>
              <w:jc w:val="both"/>
              <w:rPr>
                <w:b/>
                <w:bCs/>
                <w:sz w:val="26"/>
                <w:szCs w:val="26"/>
              </w:rPr>
            </w:pPr>
            <w:r w:rsidRPr="00BA118E">
              <w:rPr>
                <w:b/>
                <w:bCs/>
                <w:sz w:val="26"/>
                <w:szCs w:val="26"/>
              </w:rPr>
              <w:t>8.674.280</w:t>
            </w:r>
          </w:p>
        </w:tc>
        <w:tc>
          <w:tcPr>
            <w:tcW w:w="1141" w:type="dxa"/>
            <w:tcBorders>
              <w:top w:val="single" w:sz="4" w:space="0" w:color="auto"/>
              <w:left w:val="nil"/>
              <w:bottom w:val="single" w:sz="4" w:space="0" w:color="auto"/>
              <w:right w:val="single" w:sz="4" w:space="0" w:color="auto"/>
            </w:tcBorders>
            <w:vAlign w:val="center"/>
          </w:tcPr>
          <w:p w14:paraId="5270010F" w14:textId="77777777" w:rsidR="00926C29" w:rsidRPr="00BA118E" w:rsidRDefault="00926C29" w:rsidP="00414F3A">
            <w:pPr>
              <w:jc w:val="both"/>
              <w:rPr>
                <w:b/>
                <w:bCs/>
                <w:sz w:val="26"/>
                <w:szCs w:val="26"/>
              </w:rPr>
            </w:pPr>
            <w:r w:rsidRPr="00BA118E">
              <w:rPr>
                <w:b/>
                <w:bCs/>
                <w:sz w:val="26"/>
                <w:szCs w:val="26"/>
              </w:rPr>
              <w:t>926.000</w:t>
            </w:r>
          </w:p>
        </w:tc>
        <w:tc>
          <w:tcPr>
            <w:tcW w:w="1389" w:type="dxa"/>
            <w:tcBorders>
              <w:top w:val="single" w:sz="4" w:space="0" w:color="auto"/>
              <w:left w:val="nil"/>
              <w:bottom w:val="single" w:sz="4" w:space="0" w:color="auto"/>
              <w:right w:val="single" w:sz="4" w:space="0" w:color="auto"/>
            </w:tcBorders>
            <w:vAlign w:val="center"/>
          </w:tcPr>
          <w:p w14:paraId="2DE58AAC" w14:textId="77777777" w:rsidR="00926C29" w:rsidRPr="00BA118E" w:rsidRDefault="00926C29" w:rsidP="00250875">
            <w:pPr>
              <w:jc w:val="right"/>
              <w:rPr>
                <w:b/>
                <w:bCs/>
                <w:sz w:val="26"/>
                <w:szCs w:val="26"/>
              </w:rPr>
            </w:pPr>
            <w:r w:rsidRPr="00BA118E">
              <w:rPr>
                <w:b/>
                <w:bCs/>
                <w:sz w:val="26"/>
                <w:szCs w:val="26"/>
              </w:rPr>
              <w:t>3.354.780</w:t>
            </w:r>
          </w:p>
        </w:tc>
      </w:tr>
      <w:tr w:rsidR="00BA118E" w:rsidRPr="00BA118E" w14:paraId="18C9F346" w14:textId="77777777" w:rsidTr="00300568">
        <w:trPr>
          <w:trHeight w:val="510"/>
        </w:trPr>
        <w:tc>
          <w:tcPr>
            <w:tcW w:w="708" w:type="dxa"/>
            <w:tcBorders>
              <w:top w:val="nil"/>
              <w:left w:val="single" w:sz="4" w:space="0" w:color="auto"/>
              <w:bottom w:val="single" w:sz="4" w:space="0" w:color="auto"/>
              <w:right w:val="single" w:sz="4" w:space="0" w:color="auto"/>
            </w:tcBorders>
            <w:vAlign w:val="center"/>
          </w:tcPr>
          <w:p w14:paraId="2559913D" w14:textId="77777777" w:rsidR="00926C29" w:rsidRPr="00BA118E" w:rsidRDefault="00926C29" w:rsidP="00414F3A">
            <w:pPr>
              <w:jc w:val="center"/>
              <w:rPr>
                <w:b/>
                <w:bCs/>
                <w:sz w:val="26"/>
                <w:szCs w:val="26"/>
              </w:rPr>
            </w:pPr>
            <w:r w:rsidRPr="00BA118E">
              <w:rPr>
                <w:b/>
                <w:bCs/>
                <w:sz w:val="26"/>
                <w:szCs w:val="26"/>
              </w:rPr>
              <w:t>I</w:t>
            </w:r>
          </w:p>
        </w:tc>
        <w:tc>
          <w:tcPr>
            <w:tcW w:w="2365" w:type="dxa"/>
            <w:tcBorders>
              <w:top w:val="nil"/>
              <w:left w:val="nil"/>
              <w:bottom w:val="single" w:sz="4" w:space="0" w:color="auto"/>
              <w:right w:val="single" w:sz="4" w:space="0" w:color="auto"/>
            </w:tcBorders>
            <w:vAlign w:val="center"/>
          </w:tcPr>
          <w:p w14:paraId="78259232" w14:textId="77777777" w:rsidR="00926C29" w:rsidRPr="00BA118E" w:rsidRDefault="00926C29" w:rsidP="00414F3A">
            <w:pPr>
              <w:jc w:val="both"/>
              <w:rPr>
                <w:b/>
                <w:bCs/>
                <w:sz w:val="26"/>
                <w:szCs w:val="26"/>
              </w:rPr>
            </w:pPr>
            <w:r w:rsidRPr="00BA118E">
              <w:rPr>
                <w:b/>
                <w:bCs/>
                <w:sz w:val="26"/>
                <w:szCs w:val="26"/>
              </w:rPr>
              <w:t>Vốn đầu tư trong cân đối ngân sách địa phương</w:t>
            </w:r>
          </w:p>
        </w:tc>
        <w:tc>
          <w:tcPr>
            <w:tcW w:w="1256" w:type="dxa"/>
            <w:tcBorders>
              <w:top w:val="nil"/>
              <w:left w:val="nil"/>
              <w:bottom w:val="single" w:sz="4" w:space="0" w:color="auto"/>
              <w:right w:val="single" w:sz="4" w:space="0" w:color="auto"/>
            </w:tcBorders>
            <w:vAlign w:val="center"/>
          </w:tcPr>
          <w:p w14:paraId="54667B7A" w14:textId="77777777" w:rsidR="00926C29" w:rsidRPr="00BA118E" w:rsidRDefault="00926C29" w:rsidP="00414F3A">
            <w:pPr>
              <w:jc w:val="right"/>
              <w:rPr>
                <w:b/>
                <w:bCs/>
                <w:sz w:val="26"/>
                <w:szCs w:val="26"/>
              </w:rPr>
            </w:pPr>
            <w:r w:rsidRPr="00BA118E">
              <w:rPr>
                <w:b/>
                <w:bCs/>
                <w:sz w:val="26"/>
                <w:szCs w:val="26"/>
              </w:rPr>
              <w:t>6.245.500</w:t>
            </w:r>
          </w:p>
        </w:tc>
        <w:tc>
          <w:tcPr>
            <w:tcW w:w="1256" w:type="dxa"/>
            <w:tcBorders>
              <w:top w:val="nil"/>
              <w:left w:val="nil"/>
              <w:bottom w:val="single" w:sz="4" w:space="0" w:color="auto"/>
              <w:right w:val="single" w:sz="4" w:space="0" w:color="auto"/>
            </w:tcBorders>
            <w:vAlign w:val="center"/>
          </w:tcPr>
          <w:p w14:paraId="7A9BE623" w14:textId="77777777" w:rsidR="00926C29" w:rsidRPr="00BA118E" w:rsidRDefault="00926C29" w:rsidP="00414F3A">
            <w:pPr>
              <w:jc w:val="right"/>
              <w:rPr>
                <w:b/>
                <w:bCs/>
                <w:sz w:val="26"/>
                <w:szCs w:val="26"/>
              </w:rPr>
            </w:pPr>
            <w:r w:rsidRPr="00BA118E">
              <w:rPr>
                <w:b/>
                <w:bCs/>
                <w:sz w:val="26"/>
                <w:szCs w:val="26"/>
              </w:rPr>
              <w:t>9.565.820</w:t>
            </w:r>
          </w:p>
        </w:tc>
        <w:tc>
          <w:tcPr>
            <w:tcW w:w="1256" w:type="dxa"/>
            <w:tcBorders>
              <w:top w:val="nil"/>
              <w:left w:val="nil"/>
              <w:bottom w:val="single" w:sz="4" w:space="0" w:color="auto"/>
              <w:right w:val="single" w:sz="4" w:space="0" w:color="auto"/>
            </w:tcBorders>
            <w:vAlign w:val="center"/>
          </w:tcPr>
          <w:p w14:paraId="49D8BF5B" w14:textId="77777777" w:rsidR="00926C29" w:rsidRPr="00BA118E" w:rsidRDefault="00926C29" w:rsidP="00414F3A">
            <w:pPr>
              <w:jc w:val="right"/>
              <w:rPr>
                <w:b/>
                <w:bCs/>
                <w:sz w:val="26"/>
                <w:szCs w:val="26"/>
              </w:rPr>
            </w:pPr>
            <w:r w:rsidRPr="00BA118E">
              <w:rPr>
                <w:b/>
                <w:bCs/>
                <w:sz w:val="26"/>
                <w:szCs w:val="26"/>
              </w:rPr>
              <w:t>8.639.820</w:t>
            </w:r>
          </w:p>
        </w:tc>
        <w:tc>
          <w:tcPr>
            <w:tcW w:w="1141" w:type="dxa"/>
            <w:tcBorders>
              <w:top w:val="nil"/>
              <w:left w:val="nil"/>
              <w:bottom w:val="single" w:sz="4" w:space="0" w:color="auto"/>
              <w:right w:val="single" w:sz="4" w:space="0" w:color="auto"/>
            </w:tcBorders>
            <w:vAlign w:val="center"/>
          </w:tcPr>
          <w:p w14:paraId="1B31DC9A" w14:textId="77777777" w:rsidR="00926C29" w:rsidRPr="00BA118E" w:rsidRDefault="00926C29" w:rsidP="00414F3A">
            <w:pPr>
              <w:jc w:val="right"/>
              <w:rPr>
                <w:b/>
                <w:bCs/>
                <w:sz w:val="26"/>
                <w:szCs w:val="26"/>
              </w:rPr>
            </w:pPr>
            <w:r w:rsidRPr="00BA118E">
              <w:rPr>
                <w:b/>
                <w:bCs/>
                <w:sz w:val="26"/>
                <w:szCs w:val="26"/>
              </w:rPr>
              <w:t>926.000</w:t>
            </w:r>
          </w:p>
        </w:tc>
        <w:tc>
          <w:tcPr>
            <w:tcW w:w="1389" w:type="dxa"/>
            <w:tcBorders>
              <w:top w:val="nil"/>
              <w:left w:val="nil"/>
              <w:bottom w:val="single" w:sz="4" w:space="0" w:color="auto"/>
              <w:right w:val="single" w:sz="4" w:space="0" w:color="auto"/>
            </w:tcBorders>
            <w:vAlign w:val="center"/>
          </w:tcPr>
          <w:p w14:paraId="62E8D1EA" w14:textId="77777777" w:rsidR="00926C29" w:rsidRPr="00BA118E" w:rsidRDefault="00926C29" w:rsidP="00414F3A">
            <w:pPr>
              <w:jc w:val="right"/>
              <w:rPr>
                <w:b/>
                <w:bCs/>
                <w:sz w:val="26"/>
                <w:szCs w:val="26"/>
              </w:rPr>
            </w:pPr>
            <w:r w:rsidRPr="00BA118E">
              <w:rPr>
                <w:b/>
                <w:bCs/>
                <w:sz w:val="26"/>
                <w:szCs w:val="26"/>
              </w:rPr>
              <w:t>3.320.320</w:t>
            </w:r>
          </w:p>
        </w:tc>
      </w:tr>
      <w:tr w:rsidR="00BA118E" w:rsidRPr="00BA118E" w14:paraId="795C25E6" w14:textId="77777777" w:rsidTr="00300568">
        <w:trPr>
          <w:trHeight w:val="336"/>
        </w:trPr>
        <w:tc>
          <w:tcPr>
            <w:tcW w:w="708" w:type="dxa"/>
            <w:tcBorders>
              <w:top w:val="nil"/>
              <w:left w:val="single" w:sz="4" w:space="0" w:color="auto"/>
              <w:bottom w:val="single" w:sz="4" w:space="0" w:color="auto"/>
              <w:right w:val="single" w:sz="4" w:space="0" w:color="auto"/>
            </w:tcBorders>
            <w:vAlign w:val="center"/>
          </w:tcPr>
          <w:p w14:paraId="1686822C" w14:textId="67A9DDC2" w:rsidR="00926C29" w:rsidRPr="00BA118E" w:rsidRDefault="00926C29" w:rsidP="00414F3A">
            <w:pPr>
              <w:jc w:val="center"/>
              <w:rPr>
                <w:i/>
                <w:iCs/>
                <w:sz w:val="26"/>
                <w:szCs w:val="26"/>
              </w:rPr>
            </w:pPr>
          </w:p>
        </w:tc>
        <w:tc>
          <w:tcPr>
            <w:tcW w:w="2365" w:type="dxa"/>
            <w:tcBorders>
              <w:top w:val="nil"/>
              <w:left w:val="nil"/>
              <w:bottom w:val="single" w:sz="4" w:space="0" w:color="auto"/>
              <w:right w:val="single" w:sz="4" w:space="0" w:color="auto"/>
            </w:tcBorders>
            <w:vAlign w:val="center"/>
          </w:tcPr>
          <w:p w14:paraId="413C9F3C" w14:textId="77777777" w:rsidR="00926C29" w:rsidRPr="00BA118E" w:rsidRDefault="00926C29" w:rsidP="00414F3A">
            <w:pPr>
              <w:jc w:val="both"/>
              <w:rPr>
                <w:i/>
                <w:iCs/>
                <w:sz w:val="26"/>
                <w:szCs w:val="26"/>
              </w:rPr>
            </w:pPr>
            <w:r w:rsidRPr="00BA118E">
              <w:rPr>
                <w:i/>
                <w:iCs/>
                <w:sz w:val="26"/>
                <w:szCs w:val="26"/>
              </w:rPr>
              <w:t>Trong đó:</w:t>
            </w:r>
          </w:p>
        </w:tc>
        <w:tc>
          <w:tcPr>
            <w:tcW w:w="1256" w:type="dxa"/>
            <w:tcBorders>
              <w:top w:val="nil"/>
              <w:left w:val="nil"/>
              <w:bottom w:val="single" w:sz="4" w:space="0" w:color="auto"/>
              <w:right w:val="single" w:sz="4" w:space="0" w:color="auto"/>
            </w:tcBorders>
            <w:vAlign w:val="center"/>
          </w:tcPr>
          <w:p w14:paraId="4DB5A50D" w14:textId="77777777" w:rsidR="00926C29" w:rsidRPr="00BA118E" w:rsidRDefault="00926C29" w:rsidP="00414F3A">
            <w:pPr>
              <w:jc w:val="right"/>
              <w:rPr>
                <w:i/>
                <w:iCs/>
                <w:sz w:val="26"/>
                <w:szCs w:val="26"/>
              </w:rPr>
            </w:pPr>
            <w:r w:rsidRPr="00BA118E">
              <w:rPr>
                <w:i/>
                <w:iCs/>
                <w:sz w:val="26"/>
                <w:szCs w:val="26"/>
              </w:rPr>
              <w:t> </w:t>
            </w:r>
          </w:p>
        </w:tc>
        <w:tc>
          <w:tcPr>
            <w:tcW w:w="1256" w:type="dxa"/>
            <w:tcBorders>
              <w:top w:val="nil"/>
              <w:left w:val="nil"/>
              <w:bottom w:val="single" w:sz="4" w:space="0" w:color="auto"/>
              <w:right w:val="single" w:sz="4" w:space="0" w:color="auto"/>
            </w:tcBorders>
            <w:vAlign w:val="center"/>
          </w:tcPr>
          <w:p w14:paraId="4C89BEE9" w14:textId="77777777" w:rsidR="00926C29" w:rsidRPr="00BA118E" w:rsidRDefault="00926C29" w:rsidP="00414F3A">
            <w:pPr>
              <w:jc w:val="right"/>
              <w:rPr>
                <w:i/>
                <w:iCs/>
                <w:sz w:val="26"/>
                <w:szCs w:val="26"/>
              </w:rPr>
            </w:pPr>
            <w:r w:rsidRPr="00BA118E">
              <w:rPr>
                <w:i/>
                <w:iCs/>
                <w:sz w:val="26"/>
                <w:szCs w:val="26"/>
              </w:rPr>
              <w:t> </w:t>
            </w:r>
          </w:p>
        </w:tc>
        <w:tc>
          <w:tcPr>
            <w:tcW w:w="1256" w:type="dxa"/>
            <w:tcBorders>
              <w:top w:val="nil"/>
              <w:left w:val="nil"/>
              <w:bottom w:val="single" w:sz="4" w:space="0" w:color="auto"/>
              <w:right w:val="single" w:sz="4" w:space="0" w:color="auto"/>
            </w:tcBorders>
            <w:vAlign w:val="center"/>
          </w:tcPr>
          <w:p w14:paraId="5B6DCCA8" w14:textId="77777777" w:rsidR="00926C29" w:rsidRPr="00BA118E" w:rsidRDefault="00926C29" w:rsidP="00414F3A">
            <w:pPr>
              <w:jc w:val="right"/>
              <w:rPr>
                <w:i/>
                <w:iCs/>
                <w:sz w:val="26"/>
                <w:szCs w:val="26"/>
              </w:rPr>
            </w:pPr>
            <w:r w:rsidRPr="00BA118E">
              <w:rPr>
                <w:i/>
                <w:iCs/>
                <w:sz w:val="26"/>
                <w:szCs w:val="26"/>
              </w:rPr>
              <w:t> </w:t>
            </w:r>
          </w:p>
        </w:tc>
        <w:tc>
          <w:tcPr>
            <w:tcW w:w="1141" w:type="dxa"/>
            <w:tcBorders>
              <w:top w:val="nil"/>
              <w:left w:val="nil"/>
              <w:bottom w:val="single" w:sz="4" w:space="0" w:color="auto"/>
              <w:right w:val="single" w:sz="4" w:space="0" w:color="auto"/>
            </w:tcBorders>
            <w:vAlign w:val="center"/>
          </w:tcPr>
          <w:p w14:paraId="1E5124F8" w14:textId="77777777" w:rsidR="00926C29" w:rsidRPr="00BA118E" w:rsidRDefault="00926C29" w:rsidP="00414F3A">
            <w:pPr>
              <w:jc w:val="right"/>
              <w:rPr>
                <w:i/>
                <w:iCs/>
                <w:sz w:val="26"/>
                <w:szCs w:val="26"/>
              </w:rPr>
            </w:pPr>
            <w:r w:rsidRPr="00BA118E">
              <w:rPr>
                <w:i/>
                <w:iCs/>
                <w:sz w:val="26"/>
                <w:szCs w:val="26"/>
              </w:rPr>
              <w:t> </w:t>
            </w:r>
          </w:p>
        </w:tc>
        <w:tc>
          <w:tcPr>
            <w:tcW w:w="1389" w:type="dxa"/>
            <w:tcBorders>
              <w:top w:val="nil"/>
              <w:left w:val="nil"/>
              <w:bottom w:val="single" w:sz="4" w:space="0" w:color="auto"/>
              <w:right w:val="single" w:sz="4" w:space="0" w:color="auto"/>
            </w:tcBorders>
            <w:vAlign w:val="center"/>
          </w:tcPr>
          <w:p w14:paraId="2A041310" w14:textId="77777777" w:rsidR="00926C29" w:rsidRPr="00BA118E" w:rsidRDefault="00926C29" w:rsidP="00414F3A">
            <w:pPr>
              <w:jc w:val="right"/>
              <w:rPr>
                <w:i/>
                <w:iCs/>
                <w:sz w:val="26"/>
                <w:szCs w:val="26"/>
              </w:rPr>
            </w:pPr>
            <w:r w:rsidRPr="00BA118E">
              <w:rPr>
                <w:i/>
                <w:iCs/>
                <w:sz w:val="26"/>
                <w:szCs w:val="26"/>
              </w:rPr>
              <w:t> </w:t>
            </w:r>
          </w:p>
        </w:tc>
      </w:tr>
      <w:tr w:rsidR="00BA118E" w:rsidRPr="00BA118E" w14:paraId="444BB036" w14:textId="77777777" w:rsidTr="00300568">
        <w:trPr>
          <w:trHeight w:val="499"/>
        </w:trPr>
        <w:tc>
          <w:tcPr>
            <w:tcW w:w="708" w:type="dxa"/>
            <w:tcBorders>
              <w:top w:val="nil"/>
              <w:left w:val="single" w:sz="4" w:space="0" w:color="auto"/>
              <w:bottom w:val="single" w:sz="4" w:space="0" w:color="auto"/>
              <w:right w:val="single" w:sz="4" w:space="0" w:color="auto"/>
            </w:tcBorders>
            <w:vAlign w:val="center"/>
          </w:tcPr>
          <w:p w14:paraId="5F26E7A2" w14:textId="77777777" w:rsidR="00926C29" w:rsidRPr="00BA118E" w:rsidRDefault="00926C29" w:rsidP="00414F3A">
            <w:pPr>
              <w:jc w:val="center"/>
              <w:rPr>
                <w:sz w:val="26"/>
                <w:szCs w:val="26"/>
              </w:rPr>
            </w:pPr>
            <w:r w:rsidRPr="00BA118E">
              <w:rPr>
                <w:sz w:val="26"/>
                <w:szCs w:val="26"/>
              </w:rPr>
              <w:t>1</w:t>
            </w:r>
          </w:p>
        </w:tc>
        <w:tc>
          <w:tcPr>
            <w:tcW w:w="2365" w:type="dxa"/>
            <w:tcBorders>
              <w:top w:val="nil"/>
              <w:left w:val="nil"/>
              <w:bottom w:val="single" w:sz="4" w:space="0" w:color="auto"/>
              <w:right w:val="single" w:sz="4" w:space="0" w:color="auto"/>
            </w:tcBorders>
            <w:vAlign w:val="center"/>
          </w:tcPr>
          <w:p w14:paraId="72910E16" w14:textId="77777777" w:rsidR="00926C29" w:rsidRPr="00BA118E" w:rsidRDefault="00926C29" w:rsidP="00414F3A">
            <w:pPr>
              <w:jc w:val="both"/>
              <w:rPr>
                <w:sz w:val="26"/>
                <w:szCs w:val="26"/>
              </w:rPr>
            </w:pPr>
            <w:r w:rsidRPr="00BA118E">
              <w:rPr>
                <w:sz w:val="26"/>
                <w:szCs w:val="26"/>
              </w:rPr>
              <w:t>Đầu tư xây dựng cơ bản vốn tập trung trong nước</w:t>
            </w:r>
          </w:p>
        </w:tc>
        <w:tc>
          <w:tcPr>
            <w:tcW w:w="1256" w:type="dxa"/>
            <w:tcBorders>
              <w:top w:val="nil"/>
              <w:left w:val="nil"/>
              <w:bottom w:val="single" w:sz="4" w:space="0" w:color="auto"/>
              <w:right w:val="single" w:sz="4" w:space="0" w:color="auto"/>
            </w:tcBorders>
            <w:vAlign w:val="center"/>
          </w:tcPr>
          <w:p w14:paraId="41D652D6" w14:textId="77777777" w:rsidR="00926C29" w:rsidRPr="00BA118E" w:rsidRDefault="00926C29" w:rsidP="00414F3A">
            <w:pPr>
              <w:jc w:val="right"/>
              <w:rPr>
                <w:sz w:val="26"/>
                <w:szCs w:val="26"/>
              </w:rPr>
            </w:pPr>
            <w:r w:rsidRPr="00BA118E">
              <w:rPr>
                <w:sz w:val="26"/>
                <w:szCs w:val="26"/>
              </w:rPr>
              <w:t>2.853.604</w:t>
            </w:r>
          </w:p>
        </w:tc>
        <w:tc>
          <w:tcPr>
            <w:tcW w:w="1256" w:type="dxa"/>
            <w:tcBorders>
              <w:top w:val="nil"/>
              <w:left w:val="nil"/>
              <w:bottom w:val="single" w:sz="4" w:space="0" w:color="auto"/>
              <w:right w:val="single" w:sz="4" w:space="0" w:color="auto"/>
            </w:tcBorders>
            <w:vAlign w:val="center"/>
          </w:tcPr>
          <w:p w14:paraId="5634A47F" w14:textId="77777777" w:rsidR="00926C29" w:rsidRPr="00BA118E" w:rsidRDefault="00926C29" w:rsidP="00414F3A">
            <w:pPr>
              <w:jc w:val="right"/>
              <w:rPr>
                <w:sz w:val="26"/>
                <w:szCs w:val="26"/>
              </w:rPr>
            </w:pPr>
            <w:r w:rsidRPr="00BA118E">
              <w:rPr>
                <w:sz w:val="26"/>
                <w:szCs w:val="26"/>
              </w:rPr>
              <w:t>2.853.604</w:t>
            </w:r>
          </w:p>
        </w:tc>
        <w:tc>
          <w:tcPr>
            <w:tcW w:w="1256" w:type="dxa"/>
            <w:tcBorders>
              <w:top w:val="nil"/>
              <w:left w:val="nil"/>
              <w:bottom w:val="single" w:sz="4" w:space="0" w:color="auto"/>
              <w:right w:val="single" w:sz="4" w:space="0" w:color="auto"/>
            </w:tcBorders>
            <w:vAlign w:val="center"/>
          </w:tcPr>
          <w:p w14:paraId="3C97844A" w14:textId="77777777" w:rsidR="00926C29" w:rsidRPr="00BA118E" w:rsidRDefault="00926C29" w:rsidP="00414F3A">
            <w:pPr>
              <w:jc w:val="right"/>
              <w:rPr>
                <w:sz w:val="26"/>
                <w:szCs w:val="26"/>
              </w:rPr>
            </w:pPr>
            <w:r w:rsidRPr="00BA118E">
              <w:rPr>
                <w:sz w:val="26"/>
                <w:szCs w:val="26"/>
              </w:rPr>
              <w:t>2.753.604</w:t>
            </w:r>
          </w:p>
        </w:tc>
        <w:tc>
          <w:tcPr>
            <w:tcW w:w="1141" w:type="dxa"/>
            <w:tcBorders>
              <w:top w:val="nil"/>
              <w:left w:val="nil"/>
              <w:bottom w:val="single" w:sz="4" w:space="0" w:color="auto"/>
              <w:right w:val="single" w:sz="4" w:space="0" w:color="auto"/>
            </w:tcBorders>
            <w:vAlign w:val="center"/>
          </w:tcPr>
          <w:p w14:paraId="1BBAD0CB" w14:textId="77777777" w:rsidR="00926C29" w:rsidRPr="00BA118E" w:rsidRDefault="00926C29" w:rsidP="00414F3A">
            <w:pPr>
              <w:jc w:val="right"/>
              <w:rPr>
                <w:sz w:val="26"/>
                <w:szCs w:val="26"/>
              </w:rPr>
            </w:pPr>
            <w:r w:rsidRPr="00BA118E">
              <w:rPr>
                <w:sz w:val="26"/>
                <w:szCs w:val="26"/>
              </w:rPr>
              <w:t>100.000</w:t>
            </w:r>
          </w:p>
        </w:tc>
        <w:tc>
          <w:tcPr>
            <w:tcW w:w="1389" w:type="dxa"/>
            <w:tcBorders>
              <w:top w:val="nil"/>
              <w:left w:val="nil"/>
              <w:bottom w:val="single" w:sz="4" w:space="0" w:color="auto"/>
              <w:right w:val="single" w:sz="4" w:space="0" w:color="auto"/>
            </w:tcBorders>
            <w:vAlign w:val="center"/>
          </w:tcPr>
          <w:p w14:paraId="68E8C147" w14:textId="77777777" w:rsidR="00926C29" w:rsidRPr="00BA118E" w:rsidRDefault="00926C29" w:rsidP="00414F3A">
            <w:pPr>
              <w:jc w:val="right"/>
              <w:rPr>
                <w:sz w:val="26"/>
                <w:szCs w:val="26"/>
              </w:rPr>
            </w:pPr>
            <w:r w:rsidRPr="00BA118E">
              <w:rPr>
                <w:sz w:val="26"/>
                <w:szCs w:val="26"/>
              </w:rPr>
              <w:t> </w:t>
            </w:r>
          </w:p>
        </w:tc>
      </w:tr>
      <w:tr w:rsidR="00BA118E" w:rsidRPr="00BA118E" w14:paraId="78308A48" w14:textId="77777777" w:rsidTr="00300568">
        <w:trPr>
          <w:trHeight w:val="499"/>
        </w:trPr>
        <w:tc>
          <w:tcPr>
            <w:tcW w:w="708" w:type="dxa"/>
            <w:tcBorders>
              <w:top w:val="nil"/>
              <w:left w:val="single" w:sz="4" w:space="0" w:color="auto"/>
              <w:bottom w:val="single" w:sz="4" w:space="0" w:color="auto"/>
              <w:right w:val="single" w:sz="4" w:space="0" w:color="auto"/>
            </w:tcBorders>
            <w:vAlign w:val="center"/>
          </w:tcPr>
          <w:p w14:paraId="26B3E548" w14:textId="77777777" w:rsidR="00926C29" w:rsidRPr="00BA118E" w:rsidRDefault="00926C29" w:rsidP="00414F3A">
            <w:pPr>
              <w:jc w:val="center"/>
              <w:rPr>
                <w:sz w:val="26"/>
                <w:szCs w:val="26"/>
              </w:rPr>
            </w:pPr>
            <w:r w:rsidRPr="00BA118E">
              <w:rPr>
                <w:sz w:val="26"/>
                <w:szCs w:val="26"/>
              </w:rPr>
              <w:t>2</w:t>
            </w:r>
          </w:p>
        </w:tc>
        <w:tc>
          <w:tcPr>
            <w:tcW w:w="2365" w:type="dxa"/>
            <w:tcBorders>
              <w:top w:val="nil"/>
              <w:left w:val="nil"/>
              <w:bottom w:val="single" w:sz="4" w:space="0" w:color="auto"/>
              <w:right w:val="single" w:sz="4" w:space="0" w:color="auto"/>
            </w:tcBorders>
            <w:vAlign w:val="center"/>
          </w:tcPr>
          <w:p w14:paraId="5E6FB094" w14:textId="1A2AF622" w:rsidR="00926C29" w:rsidRPr="00BA118E" w:rsidRDefault="00926C29" w:rsidP="00414F3A">
            <w:pPr>
              <w:jc w:val="both"/>
              <w:rPr>
                <w:sz w:val="26"/>
                <w:szCs w:val="26"/>
              </w:rPr>
            </w:pPr>
            <w:r w:rsidRPr="00BA118E">
              <w:rPr>
                <w:sz w:val="26"/>
                <w:szCs w:val="26"/>
              </w:rPr>
              <w:t xml:space="preserve">Đầu tư từ nguồn thu xổ số kiến thiết </w:t>
            </w:r>
          </w:p>
        </w:tc>
        <w:tc>
          <w:tcPr>
            <w:tcW w:w="1256" w:type="dxa"/>
            <w:tcBorders>
              <w:top w:val="nil"/>
              <w:left w:val="nil"/>
              <w:bottom w:val="single" w:sz="4" w:space="0" w:color="auto"/>
              <w:right w:val="single" w:sz="4" w:space="0" w:color="auto"/>
            </w:tcBorders>
            <w:vAlign w:val="center"/>
          </w:tcPr>
          <w:p w14:paraId="7DD60B28" w14:textId="77777777" w:rsidR="00926C29" w:rsidRPr="00BA118E" w:rsidRDefault="00926C29" w:rsidP="00414F3A">
            <w:pPr>
              <w:jc w:val="right"/>
              <w:rPr>
                <w:sz w:val="26"/>
                <w:szCs w:val="26"/>
              </w:rPr>
            </w:pPr>
            <w:r w:rsidRPr="00BA118E">
              <w:rPr>
                <w:sz w:val="26"/>
                <w:szCs w:val="26"/>
              </w:rPr>
              <w:t>434.173</w:t>
            </w:r>
          </w:p>
        </w:tc>
        <w:tc>
          <w:tcPr>
            <w:tcW w:w="1256" w:type="dxa"/>
            <w:tcBorders>
              <w:top w:val="nil"/>
              <w:left w:val="nil"/>
              <w:bottom w:val="single" w:sz="4" w:space="0" w:color="auto"/>
              <w:right w:val="single" w:sz="4" w:space="0" w:color="auto"/>
            </w:tcBorders>
            <w:vAlign w:val="center"/>
          </w:tcPr>
          <w:p w14:paraId="1777053B" w14:textId="77777777" w:rsidR="00926C29" w:rsidRPr="00BA118E" w:rsidRDefault="00926C29" w:rsidP="00414F3A">
            <w:pPr>
              <w:jc w:val="right"/>
              <w:rPr>
                <w:sz w:val="26"/>
                <w:szCs w:val="26"/>
              </w:rPr>
            </w:pPr>
            <w:r w:rsidRPr="00BA118E">
              <w:rPr>
                <w:sz w:val="26"/>
                <w:szCs w:val="26"/>
              </w:rPr>
              <w:t>486.000</w:t>
            </w:r>
          </w:p>
        </w:tc>
        <w:tc>
          <w:tcPr>
            <w:tcW w:w="1256" w:type="dxa"/>
            <w:tcBorders>
              <w:top w:val="nil"/>
              <w:left w:val="nil"/>
              <w:bottom w:val="single" w:sz="4" w:space="0" w:color="auto"/>
              <w:right w:val="single" w:sz="4" w:space="0" w:color="auto"/>
            </w:tcBorders>
            <w:vAlign w:val="center"/>
          </w:tcPr>
          <w:p w14:paraId="4C105A1C" w14:textId="77777777" w:rsidR="00926C29" w:rsidRPr="00BA118E" w:rsidRDefault="00926C29" w:rsidP="00414F3A">
            <w:pPr>
              <w:jc w:val="right"/>
              <w:rPr>
                <w:sz w:val="26"/>
                <w:szCs w:val="26"/>
              </w:rPr>
            </w:pPr>
            <w:r w:rsidRPr="00BA118E">
              <w:rPr>
                <w:sz w:val="26"/>
                <w:szCs w:val="26"/>
              </w:rPr>
              <w:t>486.000</w:t>
            </w:r>
          </w:p>
        </w:tc>
        <w:tc>
          <w:tcPr>
            <w:tcW w:w="1141" w:type="dxa"/>
            <w:tcBorders>
              <w:top w:val="nil"/>
              <w:left w:val="nil"/>
              <w:bottom w:val="single" w:sz="4" w:space="0" w:color="auto"/>
              <w:right w:val="single" w:sz="4" w:space="0" w:color="auto"/>
            </w:tcBorders>
            <w:vAlign w:val="center"/>
          </w:tcPr>
          <w:p w14:paraId="2A5DCE6C" w14:textId="77777777" w:rsidR="00926C29" w:rsidRPr="00BA118E" w:rsidRDefault="00926C29" w:rsidP="00414F3A">
            <w:pPr>
              <w:jc w:val="right"/>
              <w:rPr>
                <w:sz w:val="26"/>
                <w:szCs w:val="26"/>
              </w:rPr>
            </w:pPr>
            <w:r w:rsidRPr="00BA118E">
              <w:rPr>
                <w:sz w:val="26"/>
                <w:szCs w:val="26"/>
              </w:rPr>
              <w:t> </w:t>
            </w:r>
          </w:p>
        </w:tc>
        <w:tc>
          <w:tcPr>
            <w:tcW w:w="1389" w:type="dxa"/>
            <w:tcBorders>
              <w:top w:val="nil"/>
              <w:left w:val="nil"/>
              <w:bottom w:val="single" w:sz="4" w:space="0" w:color="auto"/>
              <w:right w:val="single" w:sz="4" w:space="0" w:color="auto"/>
            </w:tcBorders>
            <w:vAlign w:val="center"/>
          </w:tcPr>
          <w:p w14:paraId="6BC4CE70" w14:textId="77777777" w:rsidR="00926C29" w:rsidRPr="00BA118E" w:rsidRDefault="00926C29" w:rsidP="00414F3A">
            <w:pPr>
              <w:jc w:val="right"/>
              <w:rPr>
                <w:sz w:val="26"/>
                <w:szCs w:val="26"/>
              </w:rPr>
            </w:pPr>
            <w:r w:rsidRPr="00BA118E">
              <w:rPr>
                <w:sz w:val="26"/>
                <w:szCs w:val="26"/>
              </w:rPr>
              <w:t>51.827</w:t>
            </w:r>
          </w:p>
        </w:tc>
      </w:tr>
      <w:tr w:rsidR="00BA118E" w:rsidRPr="00BA118E" w14:paraId="7BA33A8B" w14:textId="77777777" w:rsidTr="00300568">
        <w:trPr>
          <w:trHeight w:val="499"/>
        </w:trPr>
        <w:tc>
          <w:tcPr>
            <w:tcW w:w="708" w:type="dxa"/>
            <w:tcBorders>
              <w:top w:val="nil"/>
              <w:left w:val="single" w:sz="4" w:space="0" w:color="auto"/>
              <w:bottom w:val="single" w:sz="4" w:space="0" w:color="auto"/>
              <w:right w:val="single" w:sz="4" w:space="0" w:color="auto"/>
            </w:tcBorders>
            <w:vAlign w:val="center"/>
          </w:tcPr>
          <w:p w14:paraId="7935E610" w14:textId="77777777" w:rsidR="00926C29" w:rsidRPr="00BA118E" w:rsidRDefault="00926C29" w:rsidP="00414F3A">
            <w:pPr>
              <w:jc w:val="center"/>
              <w:rPr>
                <w:sz w:val="26"/>
                <w:szCs w:val="26"/>
              </w:rPr>
            </w:pPr>
            <w:r w:rsidRPr="00BA118E">
              <w:rPr>
                <w:sz w:val="26"/>
                <w:szCs w:val="26"/>
              </w:rPr>
              <w:t>3</w:t>
            </w:r>
          </w:p>
        </w:tc>
        <w:tc>
          <w:tcPr>
            <w:tcW w:w="2365" w:type="dxa"/>
            <w:tcBorders>
              <w:top w:val="nil"/>
              <w:left w:val="nil"/>
              <w:bottom w:val="single" w:sz="4" w:space="0" w:color="auto"/>
              <w:right w:val="single" w:sz="4" w:space="0" w:color="auto"/>
            </w:tcBorders>
            <w:vAlign w:val="center"/>
          </w:tcPr>
          <w:p w14:paraId="23C7E209" w14:textId="6E3FFA23" w:rsidR="00926C29" w:rsidRPr="00BA118E" w:rsidRDefault="00926C29" w:rsidP="00414F3A">
            <w:pPr>
              <w:jc w:val="both"/>
              <w:rPr>
                <w:sz w:val="26"/>
                <w:szCs w:val="26"/>
              </w:rPr>
            </w:pPr>
            <w:r w:rsidRPr="00BA118E">
              <w:rPr>
                <w:sz w:val="26"/>
                <w:szCs w:val="26"/>
              </w:rPr>
              <w:t xml:space="preserve">Đầu tư từ nguồn bội chi ngân sách địa phương </w:t>
            </w:r>
          </w:p>
        </w:tc>
        <w:tc>
          <w:tcPr>
            <w:tcW w:w="1256" w:type="dxa"/>
            <w:tcBorders>
              <w:top w:val="nil"/>
              <w:left w:val="nil"/>
              <w:bottom w:val="single" w:sz="4" w:space="0" w:color="auto"/>
              <w:right w:val="single" w:sz="4" w:space="0" w:color="auto"/>
            </w:tcBorders>
            <w:vAlign w:val="center"/>
          </w:tcPr>
          <w:p w14:paraId="46372E3D" w14:textId="77777777" w:rsidR="00926C29" w:rsidRPr="00BA118E" w:rsidRDefault="00926C29" w:rsidP="00414F3A">
            <w:pPr>
              <w:jc w:val="right"/>
              <w:rPr>
                <w:sz w:val="26"/>
                <w:szCs w:val="26"/>
              </w:rPr>
            </w:pPr>
            <w:r w:rsidRPr="00BA118E">
              <w:rPr>
                <w:sz w:val="26"/>
                <w:szCs w:val="26"/>
              </w:rPr>
              <w:t>83.900</w:t>
            </w:r>
          </w:p>
        </w:tc>
        <w:tc>
          <w:tcPr>
            <w:tcW w:w="1256" w:type="dxa"/>
            <w:tcBorders>
              <w:top w:val="nil"/>
              <w:left w:val="nil"/>
              <w:bottom w:val="single" w:sz="4" w:space="0" w:color="auto"/>
              <w:right w:val="single" w:sz="4" w:space="0" w:color="auto"/>
            </w:tcBorders>
            <w:vAlign w:val="center"/>
          </w:tcPr>
          <w:p w14:paraId="4DF5B220" w14:textId="77777777" w:rsidR="00926C29" w:rsidRPr="00BA118E" w:rsidRDefault="00926C29" w:rsidP="00414F3A">
            <w:pPr>
              <w:jc w:val="right"/>
              <w:rPr>
                <w:sz w:val="26"/>
                <w:szCs w:val="26"/>
              </w:rPr>
            </w:pPr>
            <w:r w:rsidRPr="00BA118E">
              <w:rPr>
                <w:sz w:val="26"/>
                <w:szCs w:val="26"/>
              </w:rPr>
              <w:t>83.900</w:t>
            </w:r>
          </w:p>
        </w:tc>
        <w:tc>
          <w:tcPr>
            <w:tcW w:w="1256" w:type="dxa"/>
            <w:tcBorders>
              <w:top w:val="nil"/>
              <w:left w:val="nil"/>
              <w:bottom w:val="single" w:sz="4" w:space="0" w:color="auto"/>
              <w:right w:val="single" w:sz="4" w:space="0" w:color="auto"/>
            </w:tcBorders>
            <w:vAlign w:val="center"/>
          </w:tcPr>
          <w:p w14:paraId="65BF58E7" w14:textId="77777777" w:rsidR="00926C29" w:rsidRPr="00BA118E" w:rsidRDefault="00926C29" w:rsidP="00414F3A">
            <w:pPr>
              <w:jc w:val="right"/>
              <w:rPr>
                <w:sz w:val="26"/>
                <w:szCs w:val="26"/>
              </w:rPr>
            </w:pPr>
            <w:r w:rsidRPr="00BA118E">
              <w:rPr>
                <w:sz w:val="26"/>
                <w:szCs w:val="26"/>
              </w:rPr>
              <w:t>83.900</w:t>
            </w:r>
          </w:p>
        </w:tc>
        <w:tc>
          <w:tcPr>
            <w:tcW w:w="1141" w:type="dxa"/>
            <w:tcBorders>
              <w:top w:val="nil"/>
              <w:left w:val="nil"/>
              <w:bottom w:val="single" w:sz="4" w:space="0" w:color="auto"/>
              <w:right w:val="single" w:sz="4" w:space="0" w:color="auto"/>
            </w:tcBorders>
            <w:vAlign w:val="center"/>
          </w:tcPr>
          <w:p w14:paraId="78C2899B" w14:textId="77777777" w:rsidR="00926C29" w:rsidRPr="00BA118E" w:rsidRDefault="00926C29" w:rsidP="00414F3A">
            <w:pPr>
              <w:jc w:val="right"/>
              <w:rPr>
                <w:sz w:val="26"/>
                <w:szCs w:val="26"/>
              </w:rPr>
            </w:pPr>
            <w:r w:rsidRPr="00BA118E">
              <w:rPr>
                <w:sz w:val="26"/>
                <w:szCs w:val="26"/>
              </w:rPr>
              <w:t> </w:t>
            </w:r>
          </w:p>
        </w:tc>
        <w:tc>
          <w:tcPr>
            <w:tcW w:w="1389" w:type="dxa"/>
            <w:tcBorders>
              <w:top w:val="nil"/>
              <w:left w:val="nil"/>
              <w:bottom w:val="single" w:sz="4" w:space="0" w:color="auto"/>
              <w:right w:val="single" w:sz="4" w:space="0" w:color="auto"/>
            </w:tcBorders>
            <w:vAlign w:val="center"/>
          </w:tcPr>
          <w:p w14:paraId="5A25EA88" w14:textId="77777777" w:rsidR="00926C29" w:rsidRPr="00BA118E" w:rsidRDefault="00926C29" w:rsidP="00414F3A">
            <w:pPr>
              <w:jc w:val="right"/>
              <w:rPr>
                <w:sz w:val="26"/>
                <w:szCs w:val="26"/>
              </w:rPr>
            </w:pPr>
            <w:r w:rsidRPr="00BA118E">
              <w:rPr>
                <w:sz w:val="26"/>
                <w:szCs w:val="26"/>
              </w:rPr>
              <w:t> </w:t>
            </w:r>
          </w:p>
        </w:tc>
      </w:tr>
      <w:tr w:rsidR="00BA118E" w:rsidRPr="00BA118E" w14:paraId="6061A0A1" w14:textId="77777777" w:rsidTr="00300568">
        <w:trPr>
          <w:trHeight w:val="499"/>
        </w:trPr>
        <w:tc>
          <w:tcPr>
            <w:tcW w:w="708" w:type="dxa"/>
            <w:tcBorders>
              <w:top w:val="nil"/>
              <w:left w:val="single" w:sz="4" w:space="0" w:color="auto"/>
              <w:bottom w:val="single" w:sz="4" w:space="0" w:color="auto"/>
              <w:right w:val="single" w:sz="4" w:space="0" w:color="auto"/>
            </w:tcBorders>
            <w:vAlign w:val="center"/>
          </w:tcPr>
          <w:p w14:paraId="4009F037" w14:textId="77777777" w:rsidR="00926C29" w:rsidRPr="00BA118E" w:rsidRDefault="00926C29" w:rsidP="00414F3A">
            <w:pPr>
              <w:jc w:val="center"/>
              <w:rPr>
                <w:sz w:val="26"/>
                <w:szCs w:val="26"/>
              </w:rPr>
            </w:pPr>
            <w:r w:rsidRPr="00BA118E">
              <w:rPr>
                <w:sz w:val="26"/>
                <w:szCs w:val="26"/>
              </w:rPr>
              <w:t>4</w:t>
            </w:r>
          </w:p>
        </w:tc>
        <w:tc>
          <w:tcPr>
            <w:tcW w:w="2365" w:type="dxa"/>
            <w:tcBorders>
              <w:top w:val="nil"/>
              <w:left w:val="nil"/>
              <w:bottom w:val="single" w:sz="4" w:space="0" w:color="auto"/>
              <w:right w:val="single" w:sz="4" w:space="0" w:color="auto"/>
            </w:tcBorders>
            <w:vAlign w:val="center"/>
          </w:tcPr>
          <w:p w14:paraId="5851426C" w14:textId="010C01CE" w:rsidR="00926C29" w:rsidRPr="00BA118E" w:rsidRDefault="00926C29" w:rsidP="00414F3A">
            <w:pPr>
              <w:jc w:val="both"/>
              <w:rPr>
                <w:sz w:val="26"/>
                <w:szCs w:val="26"/>
              </w:rPr>
            </w:pPr>
            <w:r w:rsidRPr="00BA118E">
              <w:rPr>
                <w:sz w:val="26"/>
                <w:szCs w:val="26"/>
              </w:rPr>
              <w:t xml:space="preserve">Đầu tư từ nguồn thu sử dụng đất và các nguồn vốn hợp pháp khác </w:t>
            </w:r>
          </w:p>
        </w:tc>
        <w:tc>
          <w:tcPr>
            <w:tcW w:w="1256" w:type="dxa"/>
            <w:tcBorders>
              <w:top w:val="nil"/>
              <w:left w:val="nil"/>
              <w:bottom w:val="single" w:sz="4" w:space="0" w:color="auto"/>
              <w:right w:val="single" w:sz="4" w:space="0" w:color="auto"/>
            </w:tcBorders>
            <w:vAlign w:val="center"/>
          </w:tcPr>
          <w:p w14:paraId="406E1E46" w14:textId="77777777" w:rsidR="00926C29" w:rsidRPr="00BA118E" w:rsidRDefault="00926C29" w:rsidP="00414F3A">
            <w:pPr>
              <w:jc w:val="right"/>
              <w:rPr>
                <w:sz w:val="26"/>
                <w:szCs w:val="26"/>
              </w:rPr>
            </w:pPr>
            <w:r w:rsidRPr="00BA118E">
              <w:rPr>
                <w:sz w:val="26"/>
                <w:szCs w:val="26"/>
              </w:rPr>
              <w:t>2.873.823</w:t>
            </w:r>
          </w:p>
        </w:tc>
        <w:tc>
          <w:tcPr>
            <w:tcW w:w="1256" w:type="dxa"/>
            <w:tcBorders>
              <w:top w:val="nil"/>
              <w:left w:val="nil"/>
              <w:bottom w:val="single" w:sz="4" w:space="0" w:color="auto"/>
              <w:right w:val="single" w:sz="4" w:space="0" w:color="auto"/>
            </w:tcBorders>
            <w:vAlign w:val="center"/>
          </w:tcPr>
          <w:p w14:paraId="5B8C32A1" w14:textId="77777777" w:rsidR="00926C29" w:rsidRPr="00BA118E" w:rsidRDefault="00926C29" w:rsidP="00414F3A">
            <w:pPr>
              <w:jc w:val="right"/>
              <w:rPr>
                <w:sz w:val="26"/>
                <w:szCs w:val="26"/>
              </w:rPr>
            </w:pPr>
            <w:r w:rsidRPr="00BA118E">
              <w:rPr>
                <w:sz w:val="26"/>
                <w:szCs w:val="26"/>
              </w:rPr>
              <w:t>6.142.316</w:t>
            </w:r>
          </w:p>
        </w:tc>
        <w:tc>
          <w:tcPr>
            <w:tcW w:w="1256" w:type="dxa"/>
            <w:tcBorders>
              <w:top w:val="nil"/>
              <w:left w:val="nil"/>
              <w:bottom w:val="single" w:sz="4" w:space="0" w:color="auto"/>
              <w:right w:val="single" w:sz="4" w:space="0" w:color="auto"/>
            </w:tcBorders>
            <w:vAlign w:val="center"/>
          </w:tcPr>
          <w:p w14:paraId="2C7F241B" w14:textId="77777777" w:rsidR="00926C29" w:rsidRPr="00BA118E" w:rsidRDefault="00926C29" w:rsidP="00414F3A">
            <w:pPr>
              <w:jc w:val="right"/>
              <w:rPr>
                <w:sz w:val="26"/>
                <w:szCs w:val="26"/>
              </w:rPr>
            </w:pPr>
            <w:r w:rsidRPr="00BA118E">
              <w:rPr>
                <w:sz w:val="26"/>
                <w:szCs w:val="26"/>
              </w:rPr>
              <w:t>5.316.316</w:t>
            </w:r>
          </w:p>
        </w:tc>
        <w:tc>
          <w:tcPr>
            <w:tcW w:w="1141" w:type="dxa"/>
            <w:tcBorders>
              <w:top w:val="nil"/>
              <w:left w:val="nil"/>
              <w:bottom w:val="single" w:sz="4" w:space="0" w:color="auto"/>
              <w:right w:val="single" w:sz="4" w:space="0" w:color="auto"/>
            </w:tcBorders>
            <w:vAlign w:val="center"/>
          </w:tcPr>
          <w:p w14:paraId="2498DC94" w14:textId="77777777" w:rsidR="00926C29" w:rsidRPr="00BA118E" w:rsidRDefault="00926C29" w:rsidP="00414F3A">
            <w:pPr>
              <w:jc w:val="right"/>
              <w:rPr>
                <w:sz w:val="26"/>
                <w:szCs w:val="26"/>
              </w:rPr>
            </w:pPr>
            <w:r w:rsidRPr="00BA118E">
              <w:rPr>
                <w:sz w:val="26"/>
                <w:szCs w:val="26"/>
              </w:rPr>
              <w:t>826.000</w:t>
            </w:r>
          </w:p>
        </w:tc>
        <w:tc>
          <w:tcPr>
            <w:tcW w:w="1389" w:type="dxa"/>
            <w:tcBorders>
              <w:top w:val="nil"/>
              <w:left w:val="nil"/>
              <w:bottom w:val="single" w:sz="4" w:space="0" w:color="auto"/>
              <w:right w:val="single" w:sz="4" w:space="0" w:color="auto"/>
            </w:tcBorders>
            <w:vAlign w:val="center"/>
          </w:tcPr>
          <w:p w14:paraId="1752D928" w14:textId="77777777" w:rsidR="00926C29" w:rsidRPr="00BA118E" w:rsidRDefault="00926C29" w:rsidP="00414F3A">
            <w:pPr>
              <w:jc w:val="right"/>
              <w:rPr>
                <w:sz w:val="26"/>
                <w:szCs w:val="26"/>
              </w:rPr>
            </w:pPr>
            <w:r w:rsidRPr="00BA118E">
              <w:rPr>
                <w:sz w:val="26"/>
                <w:szCs w:val="26"/>
              </w:rPr>
              <w:t>3.268.493</w:t>
            </w:r>
          </w:p>
        </w:tc>
      </w:tr>
      <w:tr w:rsidR="00BA118E" w:rsidRPr="00BA118E" w14:paraId="0F175BB1" w14:textId="77777777" w:rsidTr="00300568">
        <w:trPr>
          <w:trHeight w:val="600"/>
        </w:trPr>
        <w:tc>
          <w:tcPr>
            <w:tcW w:w="708" w:type="dxa"/>
            <w:tcBorders>
              <w:top w:val="nil"/>
              <w:left w:val="single" w:sz="4" w:space="0" w:color="auto"/>
              <w:bottom w:val="single" w:sz="4" w:space="0" w:color="auto"/>
              <w:right w:val="single" w:sz="4" w:space="0" w:color="auto"/>
            </w:tcBorders>
            <w:vAlign w:val="center"/>
          </w:tcPr>
          <w:p w14:paraId="1C5C3D2C" w14:textId="77777777" w:rsidR="00926C29" w:rsidRPr="00BA118E" w:rsidRDefault="00926C29" w:rsidP="00414F3A">
            <w:pPr>
              <w:jc w:val="center"/>
              <w:rPr>
                <w:b/>
                <w:bCs/>
                <w:sz w:val="26"/>
                <w:szCs w:val="26"/>
              </w:rPr>
            </w:pPr>
            <w:r w:rsidRPr="00BA118E">
              <w:rPr>
                <w:b/>
                <w:bCs/>
                <w:sz w:val="26"/>
                <w:szCs w:val="26"/>
              </w:rPr>
              <w:t>II</w:t>
            </w:r>
          </w:p>
        </w:tc>
        <w:tc>
          <w:tcPr>
            <w:tcW w:w="2365" w:type="dxa"/>
            <w:tcBorders>
              <w:top w:val="nil"/>
              <w:left w:val="nil"/>
              <w:bottom w:val="single" w:sz="4" w:space="0" w:color="auto"/>
              <w:right w:val="single" w:sz="4" w:space="0" w:color="auto"/>
            </w:tcBorders>
            <w:vAlign w:val="center"/>
          </w:tcPr>
          <w:p w14:paraId="19A37E0E" w14:textId="77777777" w:rsidR="00926C29" w:rsidRPr="00BA118E" w:rsidRDefault="00926C29" w:rsidP="00414F3A">
            <w:pPr>
              <w:jc w:val="both"/>
              <w:rPr>
                <w:b/>
                <w:bCs/>
                <w:sz w:val="26"/>
                <w:szCs w:val="26"/>
              </w:rPr>
            </w:pPr>
            <w:r w:rsidRPr="00BA118E">
              <w:rPr>
                <w:b/>
                <w:bCs/>
                <w:sz w:val="26"/>
                <w:szCs w:val="26"/>
              </w:rPr>
              <w:t>Chi từ nguồn thu để lại chưa đưa vào cân đối ngân sách địa phương</w:t>
            </w:r>
          </w:p>
        </w:tc>
        <w:tc>
          <w:tcPr>
            <w:tcW w:w="1256" w:type="dxa"/>
            <w:tcBorders>
              <w:top w:val="nil"/>
              <w:left w:val="nil"/>
              <w:bottom w:val="single" w:sz="4" w:space="0" w:color="auto"/>
              <w:right w:val="single" w:sz="4" w:space="0" w:color="auto"/>
            </w:tcBorders>
            <w:vAlign w:val="center"/>
          </w:tcPr>
          <w:p w14:paraId="302793FD" w14:textId="77777777" w:rsidR="00926C29" w:rsidRPr="00BA118E" w:rsidRDefault="00926C29" w:rsidP="00414F3A">
            <w:pPr>
              <w:jc w:val="right"/>
              <w:rPr>
                <w:b/>
                <w:bCs/>
                <w:sz w:val="26"/>
                <w:szCs w:val="26"/>
              </w:rPr>
            </w:pPr>
            <w:r w:rsidRPr="00BA118E">
              <w:rPr>
                <w:b/>
                <w:bCs/>
                <w:sz w:val="26"/>
                <w:szCs w:val="26"/>
              </w:rPr>
              <w:t> </w:t>
            </w:r>
          </w:p>
        </w:tc>
        <w:tc>
          <w:tcPr>
            <w:tcW w:w="1256" w:type="dxa"/>
            <w:tcBorders>
              <w:top w:val="nil"/>
              <w:left w:val="nil"/>
              <w:bottom w:val="single" w:sz="4" w:space="0" w:color="auto"/>
              <w:right w:val="single" w:sz="4" w:space="0" w:color="auto"/>
            </w:tcBorders>
            <w:vAlign w:val="center"/>
          </w:tcPr>
          <w:p w14:paraId="79650D86" w14:textId="77777777" w:rsidR="00926C29" w:rsidRPr="00BA118E" w:rsidRDefault="00926C29" w:rsidP="00414F3A">
            <w:pPr>
              <w:jc w:val="right"/>
              <w:rPr>
                <w:b/>
                <w:bCs/>
                <w:sz w:val="26"/>
                <w:szCs w:val="26"/>
              </w:rPr>
            </w:pPr>
            <w:r w:rsidRPr="00BA118E">
              <w:rPr>
                <w:b/>
                <w:bCs/>
                <w:sz w:val="26"/>
                <w:szCs w:val="26"/>
              </w:rPr>
              <w:t>34.460</w:t>
            </w:r>
          </w:p>
        </w:tc>
        <w:tc>
          <w:tcPr>
            <w:tcW w:w="1256" w:type="dxa"/>
            <w:tcBorders>
              <w:top w:val="nil"/>
              <w:left w:val="nil"/>
              <w:bottom w:val="single" w:sz="4" w:space="0" w:color="auto"/>
              <w:right w:val="single" w:sz="4" w:space="0" w:color="auto"/>
            </w:tcBorders>
            <w:vAlign w:val="center"/>
          </w:tcPr>
          <w:p w14:paraId="34C4CBDC" w14:textId="77777777" w:rsidR="00926C29" w:rsidRPr="00BA118E" w:rsidRDefault="00926C29" w:rsidP="00414F3A">
            <w:pPr>
              <w:jc w:val="right"/>
              <w:rPr>
                <w:b/>
                <w:bCs/>
                <w:sz w:val="26"/>
                <w:szCs w:val="26"/>
              </w:rPr>
            </w:pPr>
            <w:r w:rsidRPr="00BA118E">
              <w:rPr>
                <w:b/>
                <w:bCs/>
                <w:sz w:val="26"/>
                <w:szCs w:val="26"/>
              </w:rPr>
              <w:t>34.460</w:t>
            </w:r>
          </w:p>
        </w:tc>
        <w:tc>
          <w:tcPr>
            <w:tcW w:w="1141" w:type="dxa"/>
            <w:tcBorders>
              <w:top w:val="nil"/>
              <w:left w:val="nil"/>
              <w:bottom w:val="single" w:sz="4" w:space="0" w:color="auto"/>
              <w:right w:val="single" w:sz="4" w:space="0" w:color="auto"/>
            </w:tcBorders>
            <w:vAlign w:val="center"/>
          </w:tcPr>
          <w:p w14:paraId="7CCD8C43" w14:textId="77777777" w:rsidR="00926C29" w:rsidRPr="00BA118E" w:rsidRDefault="00926C29" w:rsidP="00414F3A">
            <w:pPr>
              <w:jc w:val="right"/>
              <w:rPr>
                <w:b/>
                <w:bCs/>
                <w:sz w:val="26"/>
                <w:szCs w:val="26"/>
              </w:rPr>
            </w:pPr>
            <w:r w:rsidRPr="00BA118E">
              <w:rPr>
                <w:b/>
                <w:bCs/>
                <w:sz w:val="26"/>
                <w:szCs w:val="26"/>
              </w:rPr>
              <w:t> </w:t>
            </w:r>
          </w:p>
        </w:tc>
        <w:tc>
          <w:tcPr>
            <w:tcW w:w="1389" w:type="dxa"/>
            <w:tcBorders>
              <w:top w:val="nil"/>
              <w:left w:val="nil"/>
              <w:bottom w:val="single" w:sz="4" w:space="0" w:color="auto"/>
              <w:right w:val="single" w:sz="4" w:space="0" w:color="auto"/>
            </w:tcBorders>
            <w:vAlign w:val="center"/>
          </w:tcPr>
          <w:p w14:paraId="748AE245" w14:textId="77777777" w:rsidR="00926C29" w:rsidRPr="00BA118E" w:rsidRDefault="00926C29" w:rsidP="00414F3A">
            <w:pPr>
              <w:jc w:val="right"/>
              <w:rPr>
                <w:b/>
                <w:bCs/>
                <w:sz w:val="26"/>
                <w:szCs w:val="26"/>
              </w:rPr>
            </w:pPr>
            <w:r w:rsidRPr="00BA118E">
              <w:rPr>
                <w:b/>
                <w:bCs/>
                <w:sz w:val="26"/>
                <w:szCs w:val="26"/>
              </w:rPr>
              <w:t>34.460</w:t>
            </w:r>
          </w:p>
        </w:tc>
      </w:tr>
      <w:tr w:rsidR="00BA118E" w:rsidRPr="00BA118E" w14:paraId="51E55FF7" w14:textId="77777777" w:rsidTr="00300568">
        <w:trPr>
          <w:trHeight w:val="615"/>
        </w:trPr>
        <w:tc>
          <w:tcPr>
            <w:tcW w:w="708" w:type="dxa"/>
            <w:tcBorders>
              <w:top w:val="nil"/>
              <w:left w:val="single" w:sz="4" w:space="0" w:color="auto"/>
              <w:bottom w:val="single" w:sz="4" w:space="0" w:color="auto"/>
              <w:right w:val="single" w:sz="4" w:space="0" w:color="auto"/>
            </w:tcBorders>
            <w:vAlign w:val="center"/>
          </w:tcPr>
          <w:p w14:paraId="0E255B10" w14:textId="77777777" w:rsidR="00926C29" w:rsidRPr="00BA118E" w:rsidRDefault="00926C29" w:rsidP="00414F3A">
            <w:pPr>
              <w:jc w:val="center"/>
              <w:rPr>
                <w:sz w:val="26"/>
                <w:szCs w:val="26"/>
              </w:rPr>
            </w:pPr>
            <w:r w:rsidRPr="00BA118E">
              <w:rPr>
                <w:sz w:val="26"/>
                <w:szCs w:val="26"/>
              </w:rPr>
              <w:t>1</w:t>
            </w:r>
          </w:p>
        </w:tc>
        <w:tc>
          <w:tcPr>
            <w:tcW w:w="2365" w:type="dxa"/>
            <w:tcBorders>
              <w:top w:val="nil"/>
              <w:left w:val="nil"/>
              <w:bottom w:val="single" w:sz="4" w:space="0" w:color="auto"/>
              <w:right w:val="single" w:sz="4" w:space="0" w:color="auto"/>
            </w:tcBorders>
            <w:vAlign w:val="center"/>
          </w:tcPr>
          <w:p w14:paraId="4A232C69" w14:textId="77777777" w:rsidR="00926C29" w:rsidRPr="00BA118E" w:rsidRDefault="00926C29" w:rsidP="00414F3A">
            <w:pPr>
              <w:jc w:val="both"/>
              <w:rPr>
                <w:sz w:val="26"/>
                <w:szCs w:val="26"/>
              </w:rPr>
            </w:pPr>
            <w:r w:rsidRPr="00BA118E">
              <w:rPr>
                <w:sz w:val="26"/>
                <w:szCs w:val="26"/>
              </w:rPr>
              <w:t>Phí sử dụng các công trình kết cấu hạ tầng trong khu kinh tế cửa khẩu quốc tế Bờ Y</w:t>
            </w:r>
          </w:p>
        </w:tc>
        <w:tc>
          <w:tcPr>
            <w:tcW w:w="1256" w:type="dxa"/>
            <w:tcBorders>
              <w:top w:val="nil"/>
              <w:left w:val="nil"/>
              <w:bottom w:val="single" w:sz="4" w:space="0" w:color="auto"/>
              <w:right w:val="single" w:sz="4" w:space="0" w:color="auto"/>
            </w:tcBorders>
            <w:vAlign w:val="center"/>
          </w:tcPr>
          <w:p w14:paraId="426B8971" w14:textId="77777777" w:rsidR="00926C29" w:rsidRPr="00BA118E" w:rsidRDefault="00926C29" w:rsidP="00414F3A">
            <w:pPr>
              <w:jc w:val="right"/>
              <w:rPr>
                <w:sz w:val="26"/>
                <w:szCs w:val="26"/>
              </w:rPr>
            </w:pPr>
            <w:r w:rsidRPr="00BA118E">
              <w:rPr>
                <w:sz w:val="26"/>
                <w:szCs w:val="26"/>
              </w:rPr>
              <w:t> </w:t>
            </w:r>
          </w:p>
        </w:tc>
        <w:tc>
          <w:tcPr>
            <w:tcW w:w="1256" w:type="dxa"/>
            <w:tcBorders>
              <w:top w:val="nil"/>
              <w:left w:val="nil"/>
              <w:bottom w:val="single" w:sz="4" w:space="0" w:color="auto"/>
              <w:right w:val="single" w:sz="4" w:space="0" w:color="auto"/>
            </w:tcBorders>
            <w:vAlign w:val="center"/>
          </w:tcPr>
          <w:p w14:paraId="328490F7" w14:textId="77777777" w:rsidR="00926C29" w:rsidRPr="00BA118E" w:rsidRDefault="00926C29" w:rsidP="00414F3A">
            <w:pPr>
              <w:jc w:val="right"/>
              <w:rPr>
                <w:sz w:val="26"/>
                <w:szCs w:val="26"/>
              </w:rPr>
            </w:pPr>
            <w:r w:rsidRPr="00BA118E">
              <w:rPr>
                <w:sz w:val="26"/>
                <w:szCs w:val="26"/>
              </w:rPr>
              <w:t>34.460</w:t>
            </w:r>
          </w:p>
        </w:tc>
        <w:tc>
          <w:tcPr>
            <w:tcW w:w="1256" w:type="dxa"/>
            <w:tcBorders>
              <w:top w:val="nil"/>
              <w:left w:val="nil"/>
              <w:bottom w:val="single" w:sz="4" w:space="0" w:color="auto"/>
              <w:right w:val="single" w:sz="4" w:space="0" w:color="auto"/>
            </w:tcBorders>
            <w:vAlign w:val="center"/>
          </w:tcPr>
          <w:p w14:paraId="22BA1033" w14:textId="77777777" w:rsidR="00926C29" w:rsidRPr="00BA118E" w:rsidRDefault="00926C29" w:rsidP="00414F3A">
            <w:pPr>
              <w:jc w:val="right"/>
              <w:rPr>
                <w:sz w:val="26"/>
                <w:szCs w:val="26"/>
              </w:rPr>
            </w:pPr>
            <w:r w:rsidRPr="00BA118E">
              <w:rPr>
                <w:sz w:val="26"/>
                <w:szCs w:val="26"/>
              </w:rPr>
              <w:t>34.460</w:t>
            </w:r>
          </w:p>
        </w:tc>
        <w:tc>
          <w:tcPr>
            <w:tcW w:w="1141" w:type="dxa"/>
            <w:tcBorders>
              <w:top w:val="nil"/>
              <w:left w:val="nil"/>
              <w:bottom w:val="single" w:sz="4" w:space="0" w:color="auto"/>
              <w:right w:val="single" w:sz="4" w:space="0" w:color="auto"/>
            </w:tcBorders>
            <w:vAlign w:val="center"/>
          </w:tcPr>
          <w:p w14:paraId="570C3E68" w14:textId="77777777" w:rsidR="00926C29" w:rsidRPr="00BA118E" w:rsidRDefault="00926C29" w:rsidP="00414F3A">
            <w:pPr>
              <w:jc w:val="right"/>
              <w:rPr>
                <w:sz w:val="26"/>
                <w:szCs w:val="26"/>
              </w:rPr>
            </w:pPr>
            <w:r w:rsidRPr="00BA118E">
              <w:rPr>
                <w:sz w:val="26"/>
                <w:szCs w:val="26"/>
              </w:rPr>
              <w:t> </w:t>
            </w:r>
          </w:p>
        </w:tc>
        <w:tc>
          <w:tcPr>
            <w:tcW w:w="1389" w:type="dxa"/>
            <w:tcBorders>
              <w:top w:val="nil"/>
              <w:left w:val="nil"/>
              <w:bottom w:val="single" w:sz="4" w:space="0" w:color="auto"/>
              <w:right w:val="single" w:sz="4" w:space="0" w:color="auto"/>
            </w:tcBorders>
            <w:vAlign w:val="center"/>
          </w:tcPr>
          <w:p w14:paraId="0BC2F95F" w14:textId="77777777" w:rsidR="00926C29" w:rsidRPr="00BA118E" w:rsidRDefault="00926C29" w:rsidP="00414F3A">
            <w:pPr>
              <w:jc w:val="right"/>
              <w:rPr>
                <w:sz w:val="26"/>
                <w:szCs w:val="26"/>
              </w:rPr>
            </w:pPr>
            <w:r w:rsidRPr="00BA118E">
              <w:rPr>
                <w:sz w:val="26"/>
                <w:szCs w:val="26"/>
              </w:rPr>
              <w:t>34.460</w:t>
            </w:r>
          </w:p>
        </w:tc>
      </w:tr>
    </w:tbl>
    <w:p w14:paraId="62452E99" w14:textId="469E6FDF" w:rsidR="00926C29" w:rsidRPr="00BA118E" w:rsidRDefault="00926C29" w:rsidP="00300568">
      <w:pPr>
        <w:spacing w:before="120" w:after="120"/>
        <w:ind w:firstLine="709"/>
        <w:jc w:val="both"/>
        <w:rPr>
          <w:b/>
          <w:szCs w:val="28"/>
          <w:shd w:val="clear" w:color="auto" w:fill="FFFFFF"/>
        </w:rPr>
      </w:pPr>
      <w:r w:rsidRPr="00BA118E">
        <w:rPr>
          <w:b/>
          <w:szCs w:val="28"/>
          <w:shd w:val="clear" w:color="auto" w:fill="FFFFFF"/>
        </w:rPr>
        <w:t xml:space="preserve">* Về dự kiến phương </w:t>
      </w:r>
      <w:proofErr w:type="gramStart"/>
      <w:r w:rsidRPr="00BA118E">
        <w:rPr>
          <w:b/>
          <w:szCs w:val="28"/>
          <w:shd w:val="clear" w:color="auto" w:fill="FFFFFF"/>
        </w:rPr>
        <w:t>án</w:t>
      </w:r>
      <w:proofErr w:type="gramEnd"/>
      <w:r w:rsidRPr="00BA118E">
        <w:rPr>
          <w:b/>
          <w:szCs w:val="28"/>
          <w:shd w:val="clear" w:color="auto" w:fill="FFFFFF"/>
        </w:rPr>
        <w:t xml:space="preserve"> phân bổ</w:t>
      </w:r>
    </w:p>
    <w:tbl>
      <w:tblPr>
        <w:tblW w:w="9356" w:type="dxa"/>
        <w:tblInd w:w="108" w:type="dxa"/>
        <w:tblLook w:val="04A0" w:firstRow="1" w:lastRow="0" w:firstColumn="1" w:lastColumn="0" w:noHBand="0" w:noVBand="1"/>
      </w:tblPr>
      <w:tblGrid>
        <w:gridCol w:w="724"/>
        <w:gridCol w:w="7376"/>
        <w:gridCol w:w="1256"/>
      </w:tblGrid>
      <w:tr w:rsidR="00BA118E" w:rsidRPr="00BA118E" w14:paraId="4431E093" w14:textId="77777777" w:rsidTr="003963A1">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9B270" w14:textId="2312494A" w:rsidR="001118D8" w:rsidRPr="00BA118E" w:rsidRDefault="001118D8" w:rsidP="007C33E9">
            <w:pPr>
              <w:spacing w:before="120" w:after="120"/>
              <w:jc w:val="center"/>
              <w:rPr>
                <w:rFonts w:eastAsia="Times New Roman"/>
                <w:b/>
                <w:bCs/>
                <w:sz w:val="26"/>
                <w:szCs w:val="26"/>
                <w:lang w:val="en-GB" w:eastAsia="en-GB"/>
              </w:rPr>
            </w:pPr>
            <w:r w:rsidRPr="00BA118E">
              <w:rPr>
                <w:rFonts w:eastAsia="Times New Roman"/>
                <w:b/>
                <w:bCs/>
                <w:sz w:val="26"/>
                <w:szCs w:val="26"/>
                <w:lang w:val="en-GB" w:eastAsia="en-GB"/>
              </w:rPr>
              <w:t>TT</w:t>
            </w:r>
          </w:p>
        </w:tc>
        <w:tc>
          <w:tcPr>
            <w:tcW w:w="7376" w:type="dxa"/>
            <w:tcBorders>
              <w:top w:val="single" w:sz="4" w:space="0" w:color="auto"/>
              <w:left w:val="nil"/>
              <w:bottom w:val="single" w:sz="4" w:space="0" w:color="auto"/>
              <w:right w:val="single" w:sz="4" w:space="0" w:color="auto"/>
            </w:tcBorders>
            <w:shd w:val="clear" w:color="auto" w:fill="auto"/>
            <w:vAlign w:val="bottom"/>
          </w:tcPr>
          <w:p w14:paraId="548F3200" w14:textId="385422EC" w:rsidR="001118D8" w:rsidRPr="00BA118E" w:rsidRDefault="001118D8" w:rsidP="007C33E9">
            <w:pPr>
              <w:spacing w:before="120" w:after="120"/>
              <w:jc w:val="center"/>
              <w:rPr>
                <w:rFonts w:eastAsia="Times New Roman"/>
                <w:b/>
                <w:bCs/>
                <w:sz w:val="26"/>
                <w:szCs w:val="26"/>
                <w:lang w:val="en-GB" w:eastAsia="en-GB"/>
              </w:rPr>
            </w:pPr>
            <w:r w:rsidRPr="00BA118E">
              <w:rPr>
                <w:rFonts w:eastAsia="Times New Roman"/>
                <w:b/>
                <w:bCs/>
                <w:sz w:val="26"/>
                <w:szCs w:val="26"/>
                <w:lang w:val="en-GB" w:eastAsia="en-GB"/>
              </w:rPr>
              <w:t>Phương án phân bổ</w:t>
            </w: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147E1680" w14:textId="60FC27A6" w:rsidR="001118D8" w:rsidRPr="00BA118E" w:rsidRDefault="001118D8" w:rsidP="007C33E9">
            <w:pPr>
              <w:spacing w:before="120" w:after="120"/>
              <w:jc w:val="center"/>
              <w:rPr>
                <w:rFonts w:eastAsia="Times New Roman"/>
                <w:b/>
                <w:bCs/>
                <w:sz w:val="26"/>
                <w:szCs w:val="26"/>
                <w:lang w:val="en-GB" w:eastAsia="en-GB"/>
              </w:rPr>
            </w:pPr>
            <w:r w:rsidRPr="00BA118E">
              <w:rPr>
                <w:rFonts w:eastAsia="Times New Roman"/>
                <w:b/>
                <w:bCs/>
                <w:sz w:val="26"/>
                <w:szCs w:val="26"/>
                <w:lang w:val="en-GB" w:eastAsia="en-GB"/>
              </w:rPr>
              <w:t>Số tiền</w:t>
            </w:r>
          </w:p>
        </w:tc>
      </w:tr>
      <w:tr w:rsidR="00BA118E" w:rsidRPr="00BA118E" w14:paraId="7ECC1DD1" w14:textId="77777777" w:rsidTr="003963A1">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FBEE8" w14:textId="2245756F" w:rsidR="001118D8" w:rsidRPr="00BA118E" w:rsidRDefault="001118D8" w:rsidP="001118D8">
            <w:pPr>
              <w:jc w:val="center"/>
              <w:rPr>
                <w:rFonts w:eastAsia="Times New Roman"/>
                <w:b/>
                <w:bCs/>
                <w:sz w:val="26"/>
                <w:szCs w:val="26"/>
                <w:lang w:val="en-GB" w:eastAsia="en-GB"/>
              </w:rPr>
            </w:pPr>
            <w:r w:rsidRPr="00BA118E">
              <w:rPr>
                <w:rFonts w:eastAsia="Times New Roman"/>
                <w:b/>
                <w:bCs/>
                <w:sz w:val="26"/>
                <w:szCs w:val="26"/>
                <w:lang w:val="en-GB" w:eastAsia="en-GB"/>
              </w:rPr>
              <w:t>1.</w:t>
            </w:r>
          </w:p>
        </w:tc>
        <w:tc>
          <w:tcPr>
            <w:tcW w:w="7376" w:type="dxa"/>
            <w:tcBorders>
              <w:top w:val="single" w:sz="4" w:space="0" w:color="auto"/>
              <w:left w:val="nil"/>
              <w:bottom w:val="single" w:sz="4" w:space="0" w:color="auto"/>
              <w:right w:val="single" w:sz="4" w:space="0" w:color="auto"/>
            </w:tcBorders>
            <w:shd w:val="clear" w:color="auto" w:fill="auto"/>
            <w:vAlign w:val="bottom"/>
            <w:hideMark/>
          </w:tcPr>
          <w:p w14:paraId="021B772B" w14:textId="77777777" w:rsidR="001118D8" w:rsidRPr="00BA118E" w:rsidRDefault="001118D8" w:rsidP="001118D8">
            <w:pPr>
              <w:rPr>
                <w:rFonts w:eastAsia="Times New Roman"/>
                <w:b/>
                <w:bCs/>
                <w:sz w:val="26"/>
                <w:szCs w:val="26"/>
                <w:lang w:val="en-GB" w:eastAsia="en-GB"/>
              </w:rPr>
            </w:pPr>
            <w:r w:rsidRPr="00BA118E">
              <w:rPr>
                <w:rFonts w:eastAsia="Times New Roman"/>
                <w:b/>
                <w:bCs/>
                <w:sz w:val="26"/>
                <w:szCs w:val="26"/>
                <w:lang w:val="en-GB" w:eastAsia="en-GB"/>
              </w:rPr>
              <w:t xml:space="preserve"> Vốn đầu tư thuộc cân đối ngân sách địa phương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72B75887" w14:textId="77777777" w:rsidR="001118D8" w:rsidRPr="00BA118E" w:rsidRDefault="001118D8" w:rsidP="001118D8">
            <w:pPr>
              <w:jc w:val="right"/>
              <w:rPr>
                <w:rFonts w:eastAsia="Times New Roman"/>
                <w:b/>
                <w:bCs/>
                <w:sz w:val="26"/>
                <w:szCs w:val="26"/>
                <w:lang w:val="en-GB" w:eastAsia="en-GB"/>
              </w:rPr>
            </w:pPr>
            <w:r w:rsidRPr="00BA118E">
              <w:rPr>
                <w:rFonts w:eastAsia="Times New Roman"/>
                <w:b/>
                <w:bCs/>
                <w:sz w:val="26"/>
                <w:szCs w:val="26"/>
                <w:lang w:val="en-GB" w:eastAsia="en-GB"/>
              </w:rPr>
              <w:t>9.565.820</w:t>
            </w:r>
          </w:p>
        </w:tc>
      </w:tr>
      <w:tr w:rsidR="00BA118E" w:rsidRPr="00BA118E" w14:paraId="38255AAF"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7A0C58C"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a) </w:t>
            </w:r>
          </w:p>
        </w:tc>
        <w:tc>
          <w:tcPr>
            <w:tcW w:w="7376" w:type="dxa"/>
            <w:tcBorders>
              <w:top w:val="nil"/>
              <w:left w:val="nil"/>
              <w:bottom w:val="single" w:sz="4" w:space="0" w:color="auto"/>
              <w:right w:val="single" w:sz="4" w:space="0" w:color="auto"/>
            </w:tcBorders>
            <w:shd w:val="clear" w:color="auto" w:fill="auto"/>
            <w:vAlign w:val="bottom"/>
            <w:hideMark/>
          </w:tcPr>
          <w:p w14:paraId="6DC777FA"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Nguồn đầu tư xây dựng cơ bản vốn tập trung trong nước </w:t>
            </w:r>
          </w:p>
        </w:tc>
        <w:tc>
          <w:tcPr>
            <w:tcW w:w="1256" w:type="dxa"/>
            <w:tcBorders>
              <w:top w:val="nil"/>
              <w:left w:val="nil"/>
              <w:bottom w:val="single" w:sz="4" w:space="0" w:color="auto"/>
              <w:right w:val="single" w:sz="4" w:space="0" w:color="auto"/>
            </w:tcBorders>
            <w:shd w:val="clear" w:color="auto" w:fill="auto"/>
            <w:noWrap/>
            <w:vAlign w:val="bottom"/>
            <w:hideMark/>
          </w:tcPr>
          <w:p w14:paraId="1852B639"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2.853.604</w:t>
            </w:r>
          </w:p>
        </w:tc>
      </w:tr>
      <w:tr w:rsidR="00BA118E" w:rsidRPr="00BA118E" w14:paraId="7FBAA6AF"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C14CB56"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14C95AF7"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Phân cấp cho các huyện, thành phố </w:t>
            </w:r>
          </w:p>
        </w:tc>
        <w:tc>
          <w:tcPr>
            <w:tcW w:w="1256" w:type="dxa"/>
            <w:tcBorders>
              <w:top w:val="nil"/>
              <w:left w:val="nil"/>
              <w:bottom w:val="single" w:sz="4" w:space="0" w:color="auto"/>
              <w:right w:val="single" w:sz="4" w:space="0" w:color="auto"/>
            </w:tcBorders>
            <w:shd w:val="clear" w:color="auto" w:fill="auto"/>
            <w:noWrap/>
            <w:vAlign w:val="bottom"/>
            <w:hideMark/>
          </w:tcPr>
          <w:p w14:paraId="0BB37C77"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1.245.955</w:t>
            </w:r>
          </w:p>
        </w:tc>
      </w:tr>
      <w:tr w:rsidR="00BA118E" w:rsidRPr="00BA118E" w14:paraId="75F345CE"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6999663"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3D2B35E6"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Vốn đầu tư từ ngân sách cấp tỉnh khoảng </w:t>
            </w:r>
          </w:p>
        </w:tc>
        <w:tc>
          <w:tcPr>
            <w:tcW w:w="1256" w:type="dxa"/>
            <w:tcBorders>
              <w:top w:val="nil"/>
              <w:left w:val="nil"/>
              <w:bottom w:val="single" w:sz="4" w:space="0" w:color="auto"/>
              <w:right w:val="single" w:sz="4" w:space="0" w:color="auto"/>
            </w:tcBorders>
            <w:shd w:val="clear" w:color="auto" w:fill="auto"/>
            <w:noWrap/>
            <w:vAlign w:val="bottom"/>
            <w:hideMark/>
          </w:tcPr>
          <w:p w14:paraId="3DBF7B8B"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1.507.649</w:t>
            </w:r>
          </w:p>
        </w:tc>
      </w:tr>
      <w:tr w:rsidR="00BA118E" w:rsidRPr="00BA118E" w14:paraId="1B08F20C" w14:textId="77777777" w:rsidTr="003963A1">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0C9E687"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2C9D71BB"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Dự phòng để xử lý những vấn đề phát sinh trong quá trình thực hiện kế hoạch đầu tư công trung hạn </w:t>
            </w:r>
          </w:p>
        </w:tc>
        <w:tc>
          <w:tcPr>
            <w:tcW w:w="1256" w:type="dxa"/>
            <w:tcBorders>
              <w:top w:val="nil"/>
              <w:left w:val="nil"/>
              <w:bottom w:val="single" w:sz="4" w:space="0" w:color="auto"/>
              <w:right w:val="single" w:sz="4" w:space="0" w:color="auto"/>
            </w:tcBorders>
            <w:shd w:val="clear" w:color="auto" w:fill="auto"/>
            <w:noWrap/>
            <w:vAlign w:val="center"/>
            <w:hideMark/>
          </w:tcPr>
          <w:p w14:paraId="2F20DE9D" w14:textId="77777777" w:rsidR="001118D8" w:rsidRPr="00BA118E" w:rsidRDefault="001118D8" w:rsidP="00240444">
            <w:pPr>
              <w:jc w:val="right"/>
              <w:rPr>
                <w:rFonts w:eastAsia="Times New Roman"/>
                <w:sz w:val="26"/>
                <w:szCs w:val="26"/>
                <w:lang w:val="en-GB" w:eastAsia="en-GB"/>
              </w:rPr>
            </w:pPr>
            <w:r w:rsidRPr="00BA118E">
              <w:rPr>
                <w:rFonts w:eastAsia="Times New Roman"/>
                <w:sz w:val="26"/>
                <w:szCs w:val="26"/>
                <w:lang w:val="en-GB" w:eastAsia="en-GB"/>
              </w:rPr>
              <w:t>100.000</w:t>
            </w:r>
          </w:p>
        </w:tc>
      </w:tr>
      <w:tr w:rsidR="00BA118E" w:rsidRPr="00BA118E" w14:paraId="6DCD2B24"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13A7500"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b) </w:t>
            </w:r>
          </w:p>
        </w:tc>
        <w:tc>
          <w:tcPr>
            <w:tcW w:w="7376" w:type="dxa"/>
            <w:tcBorders>
              <w:top w:val="nil"/>
              <w:left w:val="nil"/>
              <w:bottom w:val="single" w:sz="4" w:space="0" w:color="auto"/>
              <w:right w:val="single" w:sz="4" w:space="0" w:color="auto"/>
            </w:tcBorders>
            <w:shd w:val="clear" w:color="auto" w:fill="auto"/>
            <w:vAlign w:val="bottom"/>
            <w:hideMark/>
          </w:tcPr>
          <w:p w14:paraId="7AA75524"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Nguồn thu xổ số kiến thiết </w:t>
            </w:r>
          </w:p>
        </w:tc>
        <w:tc>
          <w:tcPr>
            <w:tcW w:w="1256" w:type="dxa"/>
            <w:tcBorders>
              <w:top w:val="nil"/>
              <w:left w:val="nil"/>
              <w:bottom w:val="single" w:sz="4" w:space="0" w:color="auto"/>
              <w:right w:val="single" w:sz="4" w:space="0" w:color="auto"/>
            </w:tcBorders>
            <w:shd w:val="clear" w:color="auto" w:fill="auto"/>
            <w:noWrap/>
            <w:vAlign w:val="bottom"/>
            <w:hideMark/>
          </w:tcPr>
          <w:p w14:paraId="007A459C"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486.000</w:t>
            </w:r>
          </w:p>
        </w:tc>
      </w:tr>
      <w:tr w:rsidR="00BA118E" w:rsidRPr="00BA118E" w14:paraId="7F23CD58" w14:textId="77777777" w:rsidTr="003963A1">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2FCEA21"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lastRenderedPageBreak/>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6BAEE880"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Phân cấp cho các huyện, thành phố (lồng ghép thực hiện nhiệm vụ thuộc Chương trình mục tiêu quốc gia xây dựng nông thôn mới) </w:t>
            </w:r>
          </w:p>
        </w:tc>
        <w:tc>
          <w:tcPr>
            <w:tcW w:w="1256" w:type="dxa"/>
            <w:tcBorders>
              <w:top w:val="nil"/>
              <w:left w:val="nil"/>
              <w:bottom w:val="single" w:sz="4" w:space="0" w:color="auto"/>
              <w:right w:val="single" w:sz="4" w:space="0" w:color="auto"/>
            </w:tcBorders>
            <w:shd w:val="clear" w:color="auto" w:fill="auto"/>
            <w:noWrap/>
            <w:vAlign w:val="center"/>
            <w:hideMark/>
          </w:tcPr>
          <w:p w14:paraId="301A61B9" w14:textId="77777777" w:rsidR="001118D8" w:rsidRPr="00BA118E" w:rsidRDefault="001118D8" w:rsidP="00240444">
            <w:pPr>
              <w:jc w:val="right"/>
              <w:rPr>
                <w:rFonts w:eastAsia="Times New Roman"/>
                <w:sz w:val="26"/>
                <w:szCs w:val="26"/>
                <w:lang w:val="en-GB" w:eastAsia="en-GB"/>
              </w:rPr>
            </w:pPr>
            <w:r w:rsidRPr="00BA118E">
              <w:rPr>
                <w:rFonts w:eastAsia="Times New Roman"/>
                <w:sz w:val="26"/>
                <w:szCs w:val="26"/>
                <w:lang w:val="en-GB" w:eastAsia="en-GB"/>
              </w:rPr>
              <w:t>48.500</w:t>
            </w:r>
          </w:p>
        </w:tc>
      </w:tr>
      <w:tr w:rsidR="00BA118E" w:rsidRPr="00BA118E" w14:paraId="6AB486FD" w14:textId="77777777" w:rsidTr="003963A1">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B89B2B1"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0C98DE63"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Bố trí vốn đầu tư các dự án thuộc lĩnh vực giáo dục, đào tạo và giáo dục nghề nghiệp </w:t>
            </w:r>
          </w:p>
        </w:tc>
        <w:tc>
          <w:tcPr>
            <w:tcW w:w="1256" w:type="dxa"/>
            <w:tcBorders>
              <w:top w:val="nil"/>
              <w:left w:val="nil"/>
              <w:bottom w:val="single" w:sz="4" w:space="0" w:color="auto"/>
              <w:right w:val="single" w:sz="4" w:space="0" w:color="auto"/>
            </w:tcBorders>
            <w:shd w:val="clear" w:color="auto" w:fill="auto"/>
            <w:noWrap/>
            <w:vAlign w:val="bottom"/>
            <w:hideMark/>
          </w:tcPr>
          <w:p w14:paraId="5F982446"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195.341</w:t>
            </w:r>
          </w:p>
        </w:tc>
      </w:tr>
      <w:tr w:rsidR="00BA118E" w:rsidRPr="00BA118E" w14:paraId="6C5FEB8E"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AAB97E4"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13EEC299"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Bố trí vốn đầu tư các dự án thuộc lĩnh vực y tế, dân số và gia đình </w:t>
            </w:r>
          </w:p>
        </w:tc>
        <w:tc>
          <w:tcPr>
            <w:tcW w:w="1256" w:type="dxa"/>
            <w:tcBorders>
              <w:top w:val="nil"/>
              <w:left w:val="nil"/>
              <w:bottom w:val="single" w:sz="4" w:space="0" w:color="auto"/>
              <w:right w:val="single" w:sz="4" w:space="0" w:color="auto"/>
            </w:tcBorders>
            <w:shd w:val="clear" w:color="auto" w:fill="auto"/>
            <w:noWrap/>
            <w:vAlign w:val="bottom"/>
            <w:hideMark/>
          </w:tcPr>
          <w:p w14:paraId="49AC26F9"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222.959</w:t>
            </w:r>
          </w:p>
        </w:tc>
      </w:tr>
      <w:tr w:rsidR="00BA118E" w:rsidRPr="00BA118E" w14:paraId="20459405"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6DCA344"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49704B22"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Bố trí vốn đầu tư các dự án thuộc lĩnh vực văn hóa </w:t>
            </w:r>
          </w:p>
        </w:tc>
        <w:tc>
          <w:tcPr>
            <w:tcW w:w="1256" w:type="dxa"/>
            <w:tcBorders>
              <w:top w:val="nil"/>
              <w:left w:val="nil"/>
              <w:bottom w:val="single" w:sz="4" w:space="0" w:color="auto"/>
              <w:right w:val="single" w:sz="4" w:space="0" w:color="auto"/>
            </w:tcBorders>
            <w:shd w:val="clear" w:color="auto" w:fill="auto"/>
            <w:noWrap/>
            <w:vAlign w:val="bottom"/>
            <w:hideMark/>
          </w:tcPr>
          <w:p w14:paraId="73FF329D"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19.200</w:t>
            </w:r>
          </w:p>
        </w:tc>
      </w:tr>
      <w:tr w:rsidR="00BA118E" w:rsidRPr="00BA118E" w14:paraId="6BEDC2CA"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84C3559"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c) </w:t>
            </w:r>
          </w:p>
        </w:tc>
        <w:tc>
          <w:tcPr>
            <w:tcW w:w="7376" w:type="dxa"/>
            <w:tcBorders>
              <w:top w:val="nil"/>
              <w:left w:val="nil"/>
              <w:bottom w:val="single" w:sz="4" w:space="0" w:color="auto"/>
              <w:right w:val="single" w:sz="4" w:space="0" w:color="auto"/>
            </w:tcBorders>
            <w:shd w:val="clear" w:color="auto" w:fill="auto"/>
            <w:vAlign w:val="bottom"/>
            <w:hideMark/>
          </w:tcPr>
          <w:p w14:paraId="0EA74D49"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Nguồn bội chi ngân sách địa phương </w:t>
            </w:r>
          </w:p>
        </w:tc>
        <w:tc>
          <w:tcPr>
            <w:tcW w:w="1256" w:type="dxa"/>
            <w:tcBorders>
              <w:top w:val="nil"/>
              <w:left w:val="nil"/>
              <w:bottom w:val="single" w:sz="4" w:space="0" w:color="auto"/>
              <w:right w:val="single" w:sz="4" w:space="0" w:color="auto"/>
            </w:tcBorders>
            <w:shd w:val="clear" w:color="auto" w:fill="auto"/>
            <w:noWrap/>
            <w:vAlign w:val="bottom"/>
            <w:hideMark/>
          </w:tcPr>
          <w:p w14:paraId="434C949A"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83.900</w:t>
            </w:r>
          </w:p>
        </w:tc>
      </w:tr>
      <w:tr w:rsidR="00BA118E" w:rsidRPr="00BA118E" w14:paraId="246FB573"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B56C056"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d) </w:t>
            </w:r>
          </w:p>
        </w:tc>
        <w:tc>
          <w:tcPr>
            <w:tcW w:w="7376" w:type="dxa"/>
            <w:tcBorders>
              <w:top w:val="nil"/>
              <w:left w:val="nil"/>
              <w:bottom w:val="single" w:sz="4" w:space="0" w:color="auto"/>
              <w:right w:val="single" w:sz="4" w:space="0" w:color="auto"/>
            </w:tcBorders>
            <w:shd w:val="clear" w:color="auto" w:fill="auto"/>
            <w:vAlign w:val="bottom"/>
            <w:hideMark/>
          </w:tcPr>
          <w:p w14:paraId="6A1D6DF2" w14:textId="66FCF979"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Nguồn thu tiền sử dụng đất và các nguồn vốn hợp pháp khác </w:t>
            </w:r>
          </w:p>
        </w:tc>
        <w:tc>
          <w:tcPr>
            <w:tcW w:w="1256" w:type="dxa"/>
            <w:tcBorders>
              <w:top w:val="nil"/>
              <w:left w:val="nil"/>
              <w:bottom w:val="single" w:sz="4" w:space="0" w:color="auto"/>
              <w:right w:val="single" w:sz="4" w:space="0" w:color="auto"/>
            </w:tcBorders>
            <w:shd w:val="clear" w:color="auto" w:fill="auto"/>
            <w:noWrap/>
            <w:vAlign w:val="bottom"/>
            <w:hideMark/>
          </w:tcPr>
          <w:p w14:paraId="060FBA6E"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142.316</w:t>
            </w:r>
          </w:p>
        </w:tc>
      </w:tr>
      <w:tr w:rsidR="00BA118E" w:rsidRPr="00BA118E" w14:paraId="17E18FF8"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C90CC0D"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09F0EF4F"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Phân cấp ngân sách các huyện, thành phố được hưởng </w:t>
            </w:r>
          </w:p>
        </w:tc>
        <w:tc>
          <w:tcPr>
            <w:tcW w:w="1256" w:type="dxa"/>
            <w:tcBorders>
              <w:top w:val="nil"/>
              <w:left w:val="nil"/>
              <w:bottom w:val="single" w:sz="4" w:space="0" w:color="auto"/>
              <w:right w:val="single" w:sz="4" w:space="0" w:color="auto"/>
            </w:tcBorders>
            <w:shd w:val="clear" w:color="auto" w:fill="auto"/>
            <w:noWrap/>
            <w:vAlign w:val="bottom"/>
            <w:hideMark/>
          </w:tcPr>
          <w:p w14:paraId="7B19626B"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892.350</w:t>
            </w:r>
          </w:p>
        </w:tc>
      </w:tr>
      <w:tr w:rsidR="00BA118E" w:rsidRPr="00BA118E" w14:paraId="01D08F1F"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35CE28D"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5D6C23AC"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Chi quản lý đất đai </w:t>
            </w:r>
          </w:p>
        </w:tc>
        <w:tc>
          <w:tcPr>
            <w:tcW w:w="1256" w:type="dxa"/>
            <w:tcBorders>
              <w:top w:val="nil"/>
              <w:left w:val="nil"/>
              <w:bottom w:val="single" w:sz="4" w:space="0" w:color="auto"/>
              <w:right w:val="single" w:sz="4" w:space="0" w:color="auto"/>
            </w:tcBorders>
            <w:shd w:val="clear" w:color="auto" w:fill="auto"/>
            <w:noWrap/>
            <w:vAlign w:val="bottom"/>
            <w:hideMark/>
          </w:tcPr>
          <w:p w14:paraId="18A15F45"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106.820</w:t>
            </w:r>
          </w:p>
        </w:tc>
      </w:tr>
      <w:tr w:rsidR="00BA118E" w:rsidRPr="00BA118E" w14:paraId="120EED3A"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90F3C74"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188EFDB8" w14:textId="1D881764"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Trích nộp quỹ phát triển đất </w:t>
            </w:r>
          </w:p>
        </w:tc>
        <w:tc>
          <w:tcPr>
            <w:tcW w:w="1256" w:type="dxa"/>
            <w:tcBorders>
              <w:top w:val="nil"/>
              <w:left w:val="nil"/>
              <w:bottom w:val="single" w:sz="4" w:space="0" w:color="auto"/>
              <w:right w:val="single" w:sz="4" w:space="0" w:color="auto"/>
            </w:tcBorders>
            <w:shd w:val="clear" w:color="auto" w:fill="auto"/>
            <w:noWrap/>
            <w:vAlign w:val="bottom"/>
            <w:hideMark/>
          </w:tcPr>
          <w:p w14:paraId="40A84294" w14:textId="77777777" w:rsidR="001118D8" w:rsidRPr="00BA118E" w:rsidRDefault="001118D8" w:rsidP="001118D8">
            <w:pPr>
              <w:jc w:val="right"/>
              <w:rPr>
                <w:rFonts w:eastAsia="Times New Roman"/>
                <w:sz w:val="26"/>
                <w:szCs w:val="26"/>
                <w:lang w:val="en-GB" w:eastAsia="en-GB"/>
              </w:rPr>
            </w:pPr>
            <w:r w:rsidRPr="00BA118E">
              <w:rPr>
                <w:rFonts w:eastAsia="Times New Roman"/>
                <w:sz w:val="26"/>
                <w:szCs w:val="26"/>
                <w:lang w:val="en-GB" w:eastAsia="en-GB"/>
              </w:rPr>
              <w:t>1.362</w:t>
            </w:r>
          </w:p>
        </w:tc>
      </w:tr>
      <w:tr w:rsidR="00BA118E" w:rsidRPr="00BA118E" w14:paraId="663526DF" w14:textId="77777777" w:rsidTr="003963A1">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1AF8C28"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26A0BC51"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Nguồn thu tiền sử dụng đất, nguồn thu bán đấu giá các cơ sở nhà đất và các nguồn vốn hợp pháp khác cấp tỉnh quản lý </w:t>
            </w:r>
          </w:p>
        </w:tc>
        <w:tc>
          <w:tcPr>
            <w:tcW w:w="1256" w:type="dxa"/>
            <w:tcBorders>
              <w:top w:val="nil"/>
              <w:left w:val="nil"/>
              <w:bottom w:val="single" w:sz="4" w:space="0" w:color="auto"/>
              <w:right w:val="single" w:sz="4" w:space="0" w:color="auto"/>
            </w:tcBorders>
            <w:shd w:val="clear" w:color="auto" w:fill="auto"/>
            <w:noWrap/>
            <w:vAlign w:val="center"/>
            <w:hideMark/>
          </w:tcPr>
          <w:p w14:paraId="7F652479" w14:textId="77777777" w:rsidR="001118D8" w:rsidRPr="00BA118E" w:rsidRDefault="001118D8" w:rsidP="00240444">
            <w:pPr>
              <w:jc w:val="right"/>
              <w:rPr>
                <w:rFonts w:eastAsia="Times New Roman"/>
                <w:sz w:val="26"/>
                <w:szCs w:val="26"/>
                <w:lang w:val="en-GB" w:eastAsia="en-GB"/>
              </w:rPr>
            </w:pPr>
            <w:r w:rsidRPr="00BA118E">
              <w:rPr>
                <w:rFonts w:eastAsia="Times New Roman"/>
                <w:sz w:val="26"/>
                <w:szCs w:val="26"/>
                <w:lang w:val="en-GB" w:eastAsia="en-GB"/>
              </w:rPr>
              <w:t>4.295.784</w:t>
            </w:r>
          </w:p>
        </w:tc>
      </w:tr>
      <w:tr w:rsidR="00BA118E" w:rsidRPr="00BA118E" w14:paraId="6750B619" w14:textId="77777777" w:rsidTr="003963A1">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0212F07" w14:textId="77777777" w:rsidR="001118D8" w:rsidRPr="00BA118E" w:rsidRDefault="001118D8" w:rsidP="001118D8">
            <w:pPr>
              <w:jc w:val="center"/>
              <w:rPr>
                <w:rFonts w:eastAsia="Times New Roman"/>
                <w:sz w:val="26"/>
                <w:szCs w:val="26"/>
                <w:lang w:val="en-GB" w:eastAsia="en-GB"/>
              </w:rPr>
            </w:pPr>
            <w:r w:rsidRPr="00BA118E">
              <w:rPr>
                <w:rFonts w:eastAsia="Times New Roman"/>
                <w:sz w:val="26"/>
                <w:szCs w:val="26"/>
                <w:lang w:val="en-GB" w:eastAsia="en-GB"/>
              </w:rPr>
              <w:t xml:space="preserve">- </w:t>
            </w:r>
          </w:p>
        </w:tc>
        <w:tc>
          <w:tcPr>
            <w:tcW w:w="7376" w:type="dxa"/>
            <w:tcBorders>
              <w:top w:val="nil"/>
              <w:left w:val="nil"/>
              <w:bottom w:val="single" w:sz="4" w:space="0" w:color="auto"/>
              <w:right w:val="single" w:sz="4" w:space="0" w:color="auto"/>
            </w:tcBorders>
            <w:shd w:val="clear" w:color="auto" w:fill="auto"/>
            <w:vAlign w:val="bottom"/>
            <w:hideMark/>
          </w:tcPr>
          <w:p w14:paraId="3415D63E" w14:textId="77777777" w:rsidR="001118D8" w:rsidRPr="00BA118E" w:rsidRDefault="001118D8" w:rsidP="001118D8">
            <w:pPr>
              <w:rPr>
                <w:rFonts w:eastAsia="Times New Roman"/>
                <w:sz w:val="26"/>
                <w:szCs w:val="26"/>
                <w:lang w:val="en-GB" w:eastAsia="en-GB"/>
              </w:rPr>
            </w:pPr>
            <w:r w:rsidRPr="00BA118E">
              <w:rPr>
                <w:rFonts w:eastAsia="Times New Roman"/>
                <w:sz w:val="26"/>
                <w:szCs w:val="26"/>
                <w:lang w:val="en-GB" w:eastAsia="en-GB"/>
              </w:rPr>
              <w:t xml:space="preserve">Dự phòng để xử lý những vấn đề phát sinh trong quá trình thực hiện kế hoạch đầu tư công trung hạn </w:t>
            </w:r>
          </w:p>
        </w:tc>
        <w:tc>
          <w:tcPr>
            <w:tcW w:w="1256" w:type="dxa"/>
            <w:tcBorders>
              <w:top w:val="nil"/>
              <w:left w:val="nil"/>
              <w:bottom w:val="single" w:sz="4" w:space="0" w:color="auto"/>
              <w:right w:val="single" w:sz="4" w:space="0" w:color="auto"/>
            </w:tcBorders>
            <w:shd w:val="clear" w:color="auto" w:fill="auto"/>
            <w:noWrap/>
            <w:vAlign w:val="center"/>
            <w:hideMark/>
          </w:tcPr>
          <w:p w14:paraId="44C8D2ED" w14:textId="77777777" w:rsidR="001118D8" w:rsidRPr="00BA118E" w:rsidRDefault="001118D8" w:rsidP="00240444">
            <w:pPr>
              <w:jc w:val="right"/>
              <w:rPr>
                <w:rFonts w:eastAsia="Times New Roman"/>
                <w:sz w:val="26"/>
                <w:szCs w:val="26"/>
                <w:lang w:val="en-GB" w:eastAsia="en-GB"/>
              </w:rPr>
            </w:pPr>
            <w:r w:rsidRPr="00BA118E">
              <w:rPr>
                <w:rFonts w:eastAsia="Times New Roman"/>
                <w:sz w:val="26"/>
                <w:szCs w:val="26"/>
                <w:lang w:val="en-GB" w:eastAsia="en-GB"/>
              </w:rPr>
              <w:t>826.000</w:t>
            </w:r>
          </w:p>
        </w:tc>
      </w:tr>
      <w:tr w:rsidR="00BA118E" w:rsidRPr="00BA118E" w14:paraId="477DFA60" w14:textId="77777777" w:rsidTr="003963A1">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E66BB6B" w14:textId="4D6924F8" w:rsidR="001118D8" w:rsidRPr="00BA118E" w:rsidRDefault="001118D8" w:rsidP="001118D8">
            <w:pPr>
              <w:jc w:val="center"/>
              <w:rPr>
                <w:rFonts w:eastAsia="Times New Roman"/>
                <w:b/>
                <w:bCs/>
                <w:sz w:val="26"/>
                <w:szCs w:val="26"/>
                <w:lang w:val="en-GB" w:eastAsia="en-GB"/>
              </w:rPr>
            </w:pPr>
            <w:r w:rsidRPr="00BA118E">
              <w:rPr>
                <w:rFonts w:eastAsia="Times New Roman"/>
                <w:b/>
                <w:bCs/>
                <w:sz w:val="26"/>
                <w:szCs w:val="26"/>
                <w:lang w:val="en-GB" w:eastAsia="en-GB"/>
              </w:rPr>
              <w:t>2.</w:t>
            </w:r>
          </w:p>
        </w:tc>
        <w:tc>
          <w:tcPr>
            <w:tcW w:w="7376" w:type="dxa"/>
            <w:tcBorders>
              <w:top w:val="nil"/>
              <w:left w:val="nil"/>
              <w:bottom w:val="single" w:sz="4" w:space="0" w:color="auto"/>
              <w:right w:val="single" w:sz="4" w:space="0" w:color="auto"/>
            </w:tcBorders>
            <w:shd w:val="clear" w:color="auto" w:fill="auto"/>
            <w:vAlign w:val="bottom"/>
            <w:hideMark/>
          </w:tcPr>
          <w:p w14:paraId="6630C5A5" w14:textId="2D0D2F0C" w:rsidR="001118D8" w:rsidRPr="00BA118E" w:rsidRDefault="001118D8" w:rsidP="001118D8">
            <w:pPr>
              <w:rPr>
                <w:rFonts w:eastAsia="Times New Roman"/>
                <w:b/>
                <w:bCs/>
                <w:sz w:val="26"/>
                <w:szCs w:val="26"/>
                <w:lang w:val="en-GB" w:eastAsia="en-GB"/>
              </w:rPr>
            </w:pPr>
            <w:r w:rsidRPr="00BA118E">
              <w:rPr>
                <w:rFonts w:eastAsia="Times New Roman"/>
                <w:b/>
                <w:bCs/>
                <w:sz w:val="26"/>
                <w:szCs w:val="26"/>
                <w:lang w:val="en-GB" w:eastAsia="en-GB"/>
              </w:rPr>
              <w:t xml:space="preserve"> Nguồn thu để lại chưa cân đối vào ngân sách địa phương</w:t>
            </w:r>
            <w:r w:rsidRPr="00BA118E">
              <w:rPr>
                <w:b/>
                <w:bCs/>
                <w:sz w:val="26"/>
                <w:szCs w:val="26"/>
                <w:vertAlign w:val="superscript"/>
              </w:rPr>
              <w:t>(</w:t>
            </w:r>
            <w:r w:rsidRPr="00BA118E">
              <w:rPr>
                <w:rStyle w:val="FootnoteReference"/>
                <w:b/>
                <w:bCs/>
                <w:sz w:val="26"/>
                <w:szCs w:val="26"/>
              </w:rPr>
              <w:footnoteReference w:id="2"/>
            </w:r>
            <w:r w:rsidRPr="00BA118E">
              <w:rPr>
                <w:b/>
                <w:bCs/>
                <w:sz w:val="26"/>
                <w:szCs w:val="26"/>
                <w:vertAlign w:val="superscript"/>
              </w:rPr>
              <w:t>)</w:t>
            </w:r>
          </w:p>
        </w:tc>
        <w:tc>
          <w:tcPr>
            <w:tcW w:w="1256" w:type="dxa"/>
            <w:tcBorders>
              <w:top w:val="nil"/>
              <w:left w:val="nil"/>
              <w:bottom w:val="single" w:sz="4" w:space="0" w:color="auto"/>
              <w:right w:val="single" w:sz="4" w:space="0" w:color="auto"/>
            </w:tcBorders>
            <w:shd w:val="clear" w:color="auto" w:fill="auto"/>
            <w:noWrap/>
            <w:vAlign w:val="bottom"/>
            <w:hideMark/>
          </w:tcPr>
          <w:p w14:paraId="781B399B" w14:textId="77777777" w:rsidR="001118D8" w:rsidRPr="00BA118E" w:rsidRDefault="001118D8" w:rsidP="001118D8">
            <w:pPr>
              <w:jc w:val="right"/>
              <w:rPr>
                <w:rFonts w:eastAsia="Times New Roman"/>
                <w:b/>
                <w:bCs/>
                <w:sz w:val="26"/>
                <w:szCs w:val="26"/>
                <w:lang w:val="en-GB" w:eastAsia="en-GB"/>
              </w:rPr>
            </w:pPr>
            <w:r w:rsidRPr="00BA118E">
              <w:rPr>
                <w:rFonts w:eastAsia="Times New Roman"/>
                <w:b/>
                <w:bCs/>
                <w:sz w:val="26"/>
                <w:szCs w:val="26"/>
                <w:lang w:val="en-GB" w:eastAsia="en-GB"/>
              </w:rPr>
              <w:t>34.460</w:t>
            </w:r>
          </w:p>
        </w:tc>
      </w:tr>
    </w:tbl>
    <w:p w14:paraId="722030AD" w14:textId="2A609F55" w:rsidR="00824F3D" w:rsidRPr="00BA118E" w:rsidRDefault="00824F3D" w:rsidP="00BA118E">
      <w:pPr>
        <w:spacing w:before="60" w:after="60" w:line="264" w:lineRule="auto"/>
        <w:ind w:firstLine="709"/>
        <w:jc w:val="both"/>
        <w:rPr>
          <w:b/>
          <w:szCs w:val="28"/>
          <w:shd w:val="clear" w:color="auto" w:fill="FFFFFF"/>
        </w:rPr>
      </w:pPr>
      <w:r w:rsidRPr="00BA118E">
        <w:rPr>
          <w:b/>
          <w:szCs w:val="28"/>
          <w:shd w:val="clear" w:color="auto" w:fill="FFFFFF"/>
        </w:rPr>
        <w:t>* Quan điểm của Ban Kinh tế - Ngân sách</w:t>
      </w:r>
    </w:p>
    <w:p w14:paraId="57F84765" w14:textId="77777777" w:rsidR="00824F3D" w:rsidRPr="00BA118E" w:rsidRDefault="00824F3D" w:rsidP="00BA118E">
      <w:pPr>
        <w:spacing w:before="60" w:after="60" w:line="264" w:lineRule="auto"/>
        <w:ind w:firstLine="709"/>
        <w:jc w:val="both"/>
        <w:rPr>
          <w:szCs w:val="28"/>
          <w:lang w:val="nl-NL"/>
        </w:rPr>
      </w:pPr>
      <w:r w:rsidRPr="00BA118E">
        <w:rPr>
          <w:szCs w:val="28"/>
        </w:rPr>
        <w:t xml:space="preserve">Kế hoạch đầu tư công trung hạn </w:t>
      </w:r>
      <w:r w:rsidRPr="00BA118E">
        <w:rPr>
          <w:spacing w:val="-4"/>
          <w:szCs w:val="28"/>
        </w:rPr>
        <w:t xml:space="preserve">giai đoạn 2021-2025 </w:t>
      </w:r>
      <w:r w:rsidRPr="00BA118E">
        <w:rPr>
          <w:szCs w:val="28"/>
        </w:rPr>
        <w:t xml:space="preserve">tỉnh Kon Tum khi được phê duyệt sẽ mang tính định hướng, làm cơ sở xây dựng kế hoạch đầu tư công hằng năm, đẩy mạnh sự phát triển kinh tế - xã hội của tỉnh, khai thác tối đa, sử dụng hiệu quả nguồn vốn ngân sách địa phương. </w:t>
      </w:r>
      <w:r w:rsidRPr="00BA118E">
        <w:rPr>
          <w:szCs w:val="28"/>
          <w:lang w:val="nl-NL"/>
        </w:rPr>
        <w:t>Trên cơ sở quy định của Luật Đầu tư công năm 2019, Nghị quyết của Quốc hội, các văn bản hướng dẫn của Trung ương, mục tiêu kế hoạch phát triển kinh tế - xã hội của tỉnh trong giai đoạn 2021-2025; Ủy ban nhân dân tỉnh đã xây dựng kế hoạch đầu tư công trung hạn cơ bản bám sát dự thảo kế hoạch tài chính 5 năm của tỉnh</w:t>
      </w:r>
      <w:r w:rsidRPr="00BA118E">
        <w:rPr>
          <w:szCs w:val="28"/>
          <w:vertAlign w:val="superscript"/>
          <w:lang w:val="nl-NL"/>
        </w:rPr>
        <w:t>(</w:t>
      </w:r>
      <w:r w:rsidRPr="00BA118E">
        <w:rPr>
          <w:rStyle w:val="FootnoteReference"/>
          <w:szCs w:val="28"/>
          <w:lang w:val="nl-NL"/>
        </w:rPr>
        <w:footnoteReference w:id="3"/>
      </w:r>
      <w:r w:rsidRPr="00BA118E">
        <w:rPr>
          <w:szCs w:val="28"/>
          <w:vertAlign w:val="superscript"/>
          <w:lang w:val="nl-NL"/>
        </w:rPr>
        <w:t>)</w:t>
      </w:r>
      <w:r w:rsidRPr="00BA118E">
        <w:rPr>
          <w:szCs w:val="28"/>
          <w:lang w:val="nl-NL"/>
        </w:rPr>
        <w:t xml:space="preserve"> và đảm bảo các nguyên tắc, tiêu chí và định mức phân bổ vốn đầu tư công do Hội đồng nhân dân tỉnh ban hành</w:t>
      </w:r>
      <w:r w:rsidRPr="00BA118E">
        <w:rPr>
          <w:szCs w:val="28"/>
          <w:vertAlign w:val="superscript"/>
          <w:lang w:val="nl-NL"/>
        </w:rPr>
        <w:t>(</w:t>
      </w:r>
      <w:r w:rsidRPr="00BA118E">
        <w:rPr>
          <w:rStyle w:val="FootnoteReference"/>
          <w:szCs w:val="28"/>
          <w:lang w:val="nl-NL"/>
        </w:rPr>
        <w:footnoteReference w:id="4"/>
      </w:r>
      <w:r w:rsidRPr="00BA118E">
        <w:rPr>
          <w:szCs w:val="28"/>
          <w:vertAlign w:val="superscript"/>
          <w:lang w:val="nl-NL"/>
        </w:rPr>
        <w:t>)</w:t>
      </w:r>
      <w:r w:rsidRPr="00BA118E">
        <w:rPr>
          <w:szCs w:val="28"/>
          <w:lang w:val="nl-NL"/>
        </w:rPr>
        <w:t xml:space="preserve">. Bên cạnh đó, Ủy ban nhân dân tỉnh đã xác định các giải pháp nhằm triển khai thực hiện có hiệu quả kế hoạch đầu tư công trung hạn trong giai đoạn 2021-2025 trên địa bàn tỉnh, </w:t>
      </w:r>
      <w:r w:rsidRPr="00FA55BF">
        <w:rPr>
          <w:szCs w:val="28"/>
          <w:lang w:val="nl-NL"/>
        </w:rPr>
        <w:t>đẩy mạnh việc phân cấp trong quản lý đầu tư công</w:t>
      </w:r>
      <w:r w:rsidRPr="00BA118E">
        <w:rPr>
          <w:szCs w:val="28"/>
          <w:lang w:val="nl-NL"/>
        </w:rPr>
        <w:t xml:space="preserve">. Ban Kinh tế - Ngân sách cơ bản thống nhất với Kế hoạch đầu tư công trung hạn giai đoạn 2021-2025 ngân sách địa phương tỉnh Kon Tum. </w:t>
      </w:r>
    </w:p>
    <w:p w14:paraId="6AD7D2EB" w14:textId="77777777" w:rsidR="00824F3D" w:rsidRPr="00BA118E" w:rsidRDefault="00824F3D" w:rsidP="00BA118E">
      <w:pPr>
        <w:spacing w:before="60" w:after="60" w:line="264" w:lineRule="auto"/>
        <w:ind w:firstLine="709"/>
        <w:jc w:val="both"/>
        <w:rPr>
          <w:szCs w:val="28"/>
          <w:shd w:val="clear" w:color="auto" w:fill="FFFFFF"/>
          <w:lang w:val="nl-NL"/>
        </w:rPr>
      </w:pPr>
      <w:r w:rsidRPr="00BA118E">
        <w:rPr>
          <w:szCs w:val="28"/>
          <w:shd w:val="clear" w:color="auto" w:fill="FFFFFF"/>
          <w:lang w:val="nl-NL"/>
        </w:rPr>
        <w:t>Đề nghị Ủy ban nhân dân tỉnh tiếp thu, giải trình một số nội dung sau:</w:t>
      </w:r>
    </w:p>
    <w:p w14:paraId="74C36A6B" w14:textId="77777777" w:rsidR="00824F3D" w:rsidRPr="00FA55BF" w:rsidRDefault="00824F3D" w:rsidP="00BA118E">
      <w:pPr>
        <w:spacing w:before="60" w:after="60" w:line="264" w:lineRule="auto"/>
        <w:ind w:firstLine="709"/>
        <w:jc w:val="both"/>
        <w:rPr>
          <w:szCs w:val="28"/>
          <w:lang w:val="nl-NL"/>
        </w:rPr>
      </w:pPr>
      <w:r w:rsidRPr="00FA55BF">
        <w:rPr>
          <w:szCs w:val="28"/>
          <w:shd w:val="clear" w:color="auto" w:fill="FFFFFF"/>
          <w:lang w:val="nl-NL"/>
        </w:rPr>
        <w:t xml:space="preserve">- </w:t>
      </w:r>
      <w:r w:rsidRPr="00FA55BF">
        <w:rPr>
          <w:szCs w:val="28"/>
          <w:lang w:val="nl-NL"/>
        </w:rPr>
        <w:t xml:space="preserve">Căn cứ theo Quyết định số 1535/QĐ-TTg ngày 15 tháng 9 năm 2021 của Thủ tướng Chính phủ, nguồn vốn đầu tư công ngân sách địa phương được giao, đề nghị làm rõ thứ tự ưu tiên bố trí vốn theo quy định </w:t>
      </w:r>
      <w:r w:rsidRPr="00FA55BF">
        <w:rPr>
          <w:i/>
          <w:szCs w:val="28"/>
          <w:lang w:val="nl-NL"/>
        </w:rPr>
        <w:t>(dự án chuyển tiếp, khởi công mới, đối ứng dự án ngân sách trung ương,…)</w:t>
      </w:r>
      <w:r w:rsidRPr="00FA55BF">
        <w:rPr>
          <w:szCs w:val="28"/>
          <w:lang w:val="nl-NL"/>
        </w:rPr>
        <w:t>, đảm bảo phát huy hiệu quả đầu tư.</w:t>
      </w:r>
    </w:p>
    <w:p w14:paraId="07D67E31" w14:textId="77777777" w:rsidR="00824F3D" w:rsidRPr="00FA55BF" w:rsidRDefault="00824F3D" w:rsidP="00BA118E">
      <w:pPr>
        <w:spacing w:before="60" w:after="60" w:line="264" w:lineRule="auto"/>
        <w:ind w:firstLine="709"/>
        <w:jc w:val="both"/>
        <w:rPr>
          <w:szCs w:val="28"/>
          <w:shd w:val="clear" w:color="auto" w:fill="FFFFFF"/>
          <w:lang w:val="nl-NL"/>
        </w:rPr>
      </w:pPr>
      <w:r w:rsidRPr="00FA55BF">
        <w:rPr>
          <w:szCs w:val="28"/>
          <w:shd w:val="clear" w:color="auto" w:fill="FFFFFF"/>
          <w:lang w:val="nl-NL"/>
        </w:rPr>
        <w:lastRenderedPageBreak/>
        <w:t>- Báo cáo cụ thể số lượng dự án, công trình phát sinh tăng/giảm so với Nghị quyết số 69/2020/NQ-HĐND ngày 09 tháng 12 năm 2020</w:t>
      </w:r>
      <w:r w:rsidRPr="00FA55BF">
        <w:rPr>
          <w:szCs w:val="28"/>
          <w:shd w:val="clear" w:color="auto" w:fill="FFFFFF"/>
          <w:vertAlign w:val="superscript"/>
          <w:lang w:val="nl-NL"/>
        </w:rPr>
        <w:t>(</w:t>
      </w:r>
      <w:r w:rsidRPr="00BA118E">
        <w:rPr>
          <w:rStyle w:val="FootnoteReference"/>
          <w:szCs w:val="28"/>
          <w:shd w:val="clear" w:color="auto" w:fill="FFFFFF"/>
        </w:rPr>
        <w:footnoteReference w:id="5"/>
      </w:r>
      <w:r w:rsidRPr="00FA55BF">
        <w:rPr>
          <w:szCs w:val="28"/>
          <w:shd w:val="clear" w:color="auto" w:fill="FFFFFF"/>
          <w:vertAlign w:val="superscript"/>
          <w:lang w:val="nl-NL"/>
        </w:rPr>
        <w:t>)</w:t>
      </w:r>
      <w:r w:rsidRPr="00FA55BF">
        <w:rPr>
          <w:szCs w:val="28"/>
          <w:shd w:val="clear" w:color="auto" w:fill="FFFFFF"/>
          <w:lang w:val="nl-NL"/>
        </w:rPr>
        <w:t>.</w:t>
      </w:r>
    </w:p>
    <w:p w14:paraId="4AB3BFE5" w14:textId="77777777" w:rsidR="00824F3D" w:rsidRPr="00FA55BF" w:rsidRDefault="00824F3D" w:rsidP="00BA118E">
      <w:pPr>
        <w:spacing w:before="60" w:after="60" w:line="264" w:lineRule="auto"/>
        <w:ind w:firstLine="709"/>
        <w:jc w:val="both"/>
        <w:rPr>
          <w:szCs w:val="28"/>
          <w:shd w:val="clear" w:color="auto" w:fill="FFFFFF"/>
          <w:lang w:val="nl-NL"/>
        </w:rPr>
      </w:pPr>
      <w:r w:rsidRPr="00FA55BF">
        <w:rPr>
          <w:szCs w:val="28"/>
          <w:shd w:val="clear" w:color="auto" w:fill="FFFFFF"/>
          <w:lang w:val="nl-NL"/>
        </w:rPr>
        <w:t>- Báo cáo làm rõ việc dự thảo Nghị quyết không đề cập đến tỷ lệ dự phòng của nguồn vốn xổ số kiến thiết; tỷ lệ trích dự phòng các nguồn vốn đầu tư công giai đoạn 2021-2025.</w:t>
      </w:r>
    </w:p>
    <w:p w14:paraId="7843FE72" w14:textId="77777777" w:rsidR="00BA118E" w:rsidRPr="00FA55BF" w:rsidRDefault="00E62923" w:rsidP="00BA118E">
      <w:pPr>
        <w:pStyle w:val="ListParagraph"/>
        <w:numPr>
          <w:ilvl w:val="0"/>
          <w:numId w:val="2"/>
        </w:numPr>
        <w:shd w:val="clear" w:color="auto" w:fill="FFFFFF"/>
        <w:tabs>
          <w:tab w:val="left" w:pos="1134"/>
        </w:tabs>
        <w:spacing w:before="60" w:after="60" w:line="264" w:lineRule="auto"/>
        <w:ind w:left="0" w:firstLine="709"/>
        <w:jc w:val="both"/>
        <w:rPr>
          <w:szCs w:val="28"/>
          <w:lang w:val="nl-NL"/>
        </w:rPr>
      </w:pPr>
      <w:r w:rsidRPr="00BA118E">
        <w:rPr>
          <w:b/>
          <w:szCs w:val="28"/>
          <w:lang w:val="nl-NL"/>
        </w:rPr>
        <w:t xml:space="preserve">Nghị quyết về Điều chỉnh, bổ sung Kế hoạch đầu tư nguồn ngân sách </w:t>
      </w:r>
      <w:r w:rsidR="00CD6C79" w:rsidRPr="00BA118E">
        <w:rPr>
          <w:b/>
          <w:szCs w:val="28"/>
          <w:lang w:val="nl-NL"/>
        </w:rPr>
        <w:t>địa phương</w:t>
      </w:r>
      <w:r w:rsidRPr="00BA118E">
        <w:rPr>
          <w:b/>
          <w:szCs w:val="28"/>
          <w:lang w:val="nl-NL"/>
        </w:rPr>
        <w:t xml:space="preserve"> năm 2021 và kế hoạch năm 2020 kéo dài</w:t>
      </w:r>
      <w:r w:rsidR="00810EE5" w:rsidRPr="00BA118E">
        <w:rPr>
          <w:b/>
          <w:szCs w:val="28"/>
          <w:lang w:val="nl-NL"/>
        </w:rPr>
        <w:t>.</w:t>
      </w:r>
      <w:r w:rsidR="00BA118E" w:rsidRPr="00BA118E">
        <w:rPr>
          <w:b/>
          <w:szCs w:val="28"/>
          <w:lang w:val="nl-NL"/>
        </w:rPr>
        <w:t xml:space="preserve"> </w:t>
      </w:r>
    </w:p>
    <w:p w14:paraId="207A6DA6" w14:textId="02D3D8FD" w:rsidR="00F56DFC" w:rsidRPr="00BA118E" w:rsidRDefault="00F56DFC" w:rsidP="00BA118E">
      <w:pPr>
        <w:pStyle w:val="ListParagraph"/>
        <w:shd w:val="clear" w:color="auto" w:fill="FFFFFF"/>
        <w:tabs>
          <w:tab w:val="left" w:pos="1134"/>
        </w:tabs>
        <w:spacing w:before="60" w:after="60" w:line="264" w:lineRule="auto"/>
        <w:ind w:left="709"/>
        <w:jc w:val="both"/>
        <w:rPr>
          <w:szCs w:val="28"/>
        </w:rPr>
      </w:pPr>
      <w:r w:rsidRPr="00BA118E">
        <w:rPr>
          <w:szCs w:val="28"/>
        </w:rPr>
        <w:t xml:space="preserve">Đề nghị Ủy ban nhân dân tỉnh tiếp </w:t>
      </w:r>
      <w:proofErr w:type="gramStart"/>
      <w:r w:rsidRPr="00BA118E">
        <w:rPr>
          <w:szCs w:val="28"/>
        </w:rPr>
        <w:t>thu</w:t>
      </w:r>
      <w:proofErr w:type="gramEnd"/>
      <w:r w:rsidRPr="00BA118E">
        <w:rPr>
          <w:szCs w:val="28"/>
        </w:rPr>
        <w:t xml:space="preserve">, giải </w:t>
      </w:r>
      <w:r w:rsidR="001063EB">
        <w:rPr>
          <w:szCs w:val="28"/>
          <w:lang w:val="vi-VN"/>
        </w:rPr>
        <w:t xml:space="preserve">trình </w:t>
      </w:r>
      <w:r w:rsidRPr="00BA118E">
        <w:rPr>
          <w:szCs w:val="28"/>
        </w:rPr>
        <w:t>một số nội dung sau:</w:t>
      </w:r>
    </w:p>
    <w:p w14:paraId="13CD4091" w14:textId="77777777" w:rsidR="00F56DFC" w:rsidRPr="00BA118E" w:rsidRDefault="00F56DFC" w:rsidP="00BA118E">
      <w:pPr>
        <w:spacing w:before="60" w:after="60" w:line="264" w:lineRule="auto"/>
        <w:ind w:firstLine="709"/>
        <w:jc w:val="both"/>
        <w:rPr>
          <w:szCs w:val="28"/>
        </w:rPr>
      </w:pPr>
      <w:r w:rsidRPr="00BA118E">
        <w:rPr>
          <w:szCs w:val="28"/>
        </w:rPr>
        <w:t xml:space="preserve">- Báo cáo làm rõ những dự </w:t>
      </w:r>
      <w:proofErr w:type="gramStart"/>
      <w:r w:rsidRPr="00BA118E">
        <w:rPr>
          <w:szCs w:val="28"/>
        </w:rPr>
        <w:t>án</w:t>
      </w:r>
      <w:proofErr w:type="gramEnd"/>
      <w:r w:rsidRPr="00BA118E">
        <w:rPr>
          <w:szCs w:val="28"/>
        </w:rPr>
        <w:t xml:space="preserve"> phải điều chỉnh kế hoạch vốn đã bố trí từ đầu năm. </w:t>
      </w:r>
    </w:p>
    <w:p w14:paraId="4432A430" w14:textId="77777777" w:rsidR="00F56DFC" w:rsidRPr="00BA118E" w:rsidRDefault="00F56DFC" w:rsidP="00BA118E">
      <w:pPr>
        <w:spacing w:before="60" w:after="60" w:line="264" w:lineRule="auto"/>
        <w:ind w:firstLine="709"/>
        <w:jc w:val="both"/>
        <w:rPr>
          <w:szCs w:val="28"/>
        </w:rPr>
      </w:pPr>
      <w:r w:rsidRPr="00BA118E">
        <w:rPr>
          <w:szCs w:val="28"/>
        </w:rPr>
        <w:t xml:space="preserve">- Đối với các dự </w:t>
      </w:r>
      <w:proofErr w:type="gramStart"/>
      <w:r w:rsidRPr="00BA118E">
        <w:rPr>
          <w:szCs w:val="28"/>
        </w:rPr>
        <w:t>án</w:t>
      </w:r>
      <w:proofErr w:type="gramEnd"/>
      <w:r w:rsidRPr="00BA118E">
        <w:rPr>
          <w:szCs w:val="28"/>
        </w:rPr>
        <w:t xml:space="preserve"> được điều chuyển vốn, đề nghị chủ đầu tư </w:t>
      </w:r>
      <w:r w:rsidRPr="00BA118E">
        <w:rPr>
          <w:szCs w:val="28"/>
          <w:lang w:val="nl-NL"/>
        </w:rPr>
        <w:t>cam kết chịu trách nhiệm trong việc thực hiện, giải ngân hoàn thành đúng tiến độ vốn được giao</w:t>
      </w:r>
      <w:r w:rsidRPr="00BA118E">
        <w:rPr>
          <w:szCs w:val="28"/>
        </w:rPr>
        <w:t>.</w:t>
      </w:r>
    </w:p>
    <w:p w14:paraId="7A681C54" w14:textId="20665F56" w:rsidR="008D5A0B" w:rsidRPr="00BA118E" w:rsidRDefault="008D5A0B" w:rsidP="00BA118E">
      <w:pPr>
        <w:pStyle w:val="ListParagraph"/>
        <w:numPr>
          <w:ilvl w:val="0"/>
          <w:numId w:val="2"/>
        </w:numPr>
        <w:tabs>
          <w:tab w:val="left" w:pos="1134"/>
        </w:tabs>
        <w:spacing w:before="60" w:after="60" w:line="264" w:lineRule="auto"/>
        <w:ind w:left="0" w:firstLine="709"/>
        <w:jc w:val="both"/>
        <w:rPr>
          <w:b/>
          <w:szCs w:val="28"/>
          <w:lang w:val="nl-NL"/>
        </w:rPr>
      </w:pPr>
      <w:r w:rsidRPr="00BA118E">
        <w:rPr>
          <w:b/>
          <w:bCs/>
          <w:szCs w:val="28"/>
          <w:lang w:val="nl-NL"/>
        </w:rPr>
        <w:t xml:space="preserve">Nghị quyết về </w:t>
      </w:r>
      <w:r w:rsidRPr="00BA118E">
        <w:rPr>
          <w:b/>
          <w:szCs w:val="28"/>
          <w:lang w:val="nl-NL"/>
        </w:rPr>
        <w:t xml:space="preserve">Phân bổ chi tiết kế hoạch đầu tư nguồn ngân sách </w:t>
      </w:r>
      <w:r w:rsidR="00CD6C79" w:rsidRPr="00BA118E">
        <w:rPr>
          <w:b/>
          <w:szCs w:val="28"/>
          <w:lang w:val="nl-NL"/>
        </w:rPr>
        <w:t>địa phương</w:t>
      </w:r>
      <w:r w:rsidRPr="00BA118E">
        <w:rPr>
          <w:b/>
          <w:szCs w:val="28"/>
          <w:lang w:val="nl-NL"/>
        </w:rPr>
        <w:t xml:space="preserve"> năm 2021 tỉnh Kon Tum. </w:t>
      </w:r>
    </w:p>
    <w:p w14:paraId="0CF749C6" w14:textId="10258BBA" w:rsidR="00F56DFC" w:rsidRPr="00BA118E" w:rsidRDefault="00F56DFC" w:rsidP="00BA118E">
      <w:pPr>
        <w:widowControl w:val="0"/>
        <w:autoSpaceDE w:val="0"/>
        <w:autoSpaceDN w:val="0"/>
        <w:adjustRightInd w:val="0"/>
        <w:spacing w:before="60" w:after="60" w:line="264" w:lineRule="auto"/>
        <w:ind w:firstLine="709"/>
        <w:jc w:val="both"/>
        <w:rPr>
          <w:szCs w:val="28"/>
          <w:lang w:val="nl-NL"/>
        </w:rPr>
      </w:pPr>
      <w:r w:rsidRPr="00BA118E">
        <w:rPr>
          <w:szCs w:val="28"/>
          <w:lang w:val="nl-NL"/>
        </w:rPr>
        <w:t>Đề nghị Ủy ban nhân dân tỉnh một số nội dung sau:</w:t>
      </w:r>
    </w:p>
    <w:p w14:paraId="77D97045" w14:textId="77777777" w:rsidR="00F56DFC" w:rsidRPr="00BA118E" w:rsidRDefault="00F56DFC" w:rsidP="00BA118E">
      <w:pPr>
        <w:widowControl w:val="0"/>
        <w:autoSpaceDE w:val="0"/>
        <w:autoSpaceDN w:val="0"/>
        <w:adjustRightInd w:val="0"/>
        <w:spacing w:before="60" w:after="60" w:line="264" w:lineRule="auto"/>
        <w:ind w:firstLine="709"/>
        <w:jc w:val="both"/>
        <w:rPr>
          <w:szCs w:val="28"/>
          <w:lang w:val="nl-NL"/>
        </w:rPr>
      </w:pPr>
      <w:r w:rsidRPr="00BA118E">
        <w:rPr>
          <w:szCs w:val="28"/>
          <w:lang w:val="nl-NL"/>
        </w:rPr>
        <w:t>- Đối với việc đầu tư dự án từ nguồn thu tiền sử dụng đất, trên cơ sở tiến độ nguồn thu tiền sử dụng đất thực tế, đề nghị Ủy ban nhân dân tỉnh chỉ đạo triển khai thực hiện theo đúng quy định.</w:t>
      </w:r>
    </w:p>
    <w:p w14:paraId="6BB51222" w14:textId="77777777" w:rsidR="00F56DFC" w:rsidRPr="00BA118E" w:rsidRDefault="00F56DFC" w:rsidP="00BA118E">
      <w:pPr>
        <w:widowControl w:val="0"/>
        <w:autoSpaceDE w:val="0"/>
        <w:autoSpaceDN w:val="0"/>
        <w:adjustRightInd w:val="0"/>
        <w:spacing w:before="60" w:after="60" w:line="264" w:lineRule="auto"/>
        <w:ind w:firstLine="709"/>
        <w:jc w:val="both"/>
        <w:rPr>
          <w:szCs w:val="28"/>
          <w:lang w:val="nl-NL"/>
        </w:rPr>
      </w:pPr>
      <w:r w:rsidRPr="00BA118E">
        <w:rPr>
          <w:szCs w:val="28"/>
          <w:lang w:val="nl-NL"/>
        </w:rPr>
        <w:t xml:space="preserve">- Chỉ đạo các đơn vị đã được bố trí kế hoạch vốn </w:t>
      </w:r>
      <w:r w:rsidRPr="00BA118E">
        <w:rPr>
          <w:i/>
          <w:iCs/>
          <w:szCs w:val="28"/>
          <w:lang w:val="nl-NL"/>
        </w:rPr>
        <w:t>(</w:t>
      </w:r>
      <w:r w:rsidRPr="00FA55BF">
        <w:rPr>
          <w:i/>
          <w:iCs/>
          <w:szCs w:val="28"/>
          <w:lang w:val="nl-NL"/>
        </w:rPr>
        <w:t>Dự án Xây dựng mới hội trường Tỉnh ủy, các phòng họp và Trụ sở làm việc các cơ quan tham mưu giúp việc Tỉnh ủy; Đầu tư mua sắm thiết bị dạy học tối thiểu lớp 2, lớp 6 cho các cơ sở giáo dục thực hiện Chương trình giáo dục phổ thông năm 2018</w:t>
      </w:r>
      <w:r w:rsidRPr="00BA118E">
        <w:rPr>
          <w:i/>
          <w:iCs/>
          <w:szCs w:val="28"/>
          <w:lang w:val="nl-NL"/>
        </w:rPr>
        <w:t>)</w:t>
      </w:r>
      <w:r w:rsidRPr="00BA118E">
        <w:rPr>
          <w:szCs w:val="28"/>
          <w:lang w:val="nl-NL"/>
        </w:rPr>
        <w:t xml:space="preserve"> khẩn trương triển khai thực hiện và đẩy nhanh tiến độ giải ngân vốn theo</w:t>
      </w:r>
      <w:r w:rsidRPr="00FA55BF">
        <w:rPr>
          <w:szCs w:val="28"/>
          <w:lang w:val="nl-NL"/>
        </w:rPr>
        <w:t xml:space="preserve"> đúng </w:t>
      </w:r>
      <w:r w:rsidRPr="00BA118E">
        <w:rPr>
          <w:szCs w:val="28"/>
          <w:lang w:val="nl-NL"/>
        </w:rPr>
        <w:t xml:space="preserve">kế hoạch. </w:t>
      </w:r>
    </w:p>
    <w:p w14:paraId="424AE398" w14:textId="7FDDD2F8" w:rsidR="00F56DFC" w:rsidRPr="00BA118E" w:rsidRDefault="00E62923" w:rsidP="00BA118E">
      <w:pPr>
        <w:pStyle w:val="ListParagraph"/>
        <w:numPr>
          <w:ilvl w:val="0"/>
          <w:numId w:val="2"/>
        </w:numPr>
        <w:tabs>
          <w:tab w:val="left" w:pos="1134"/>
        </w:tabs>
        <w:spacing w:before="60" w:after="60" w:line="264" w:lineRule="auto"/>
        <w:ind w:left="0" w:firstLine="709"/>
        <w:jc w:val="both"/>
        <w:rPr>
          <w:b/>
          <w:szCs w:val="28"/>
          <w:lang w:val="nl-NL"/>
        </w:rPr>
      </w:pPr>
      <w:r w:rsidRPr="00FA55BF">
        <w:rPr>
          <w:rFonts w:eastAsia="Cambria"/>
          <w:b/>
          <w:szCs w:val="28"/>
          <w:lang w:val="nl-NL"/>
        </w:rPr>
        <w:t xml:space="preserve">Nghị </w:t>
      </w:r>
      <w:r w:rsidRPr="00BA118E">
        <w:rPr>
          <w:b/>
          <w:szCs w:val="28"/>
          <w:lang w:val="nl-NL"/>
        </w:rPr>
        <w:t xml:space="preserve">quyết về điều chỉnh chủ trương đầu tư Dự án Đầu tư cơ sở hạ tầng phục vụ </w:t>
      </w:r>
      <w:r w:rsidRPr="00BA118E">
        <w:rPr>
          <w:b/>
          <w:bCs/>
          <w:szCs w:val="28"/>
          <w:lang w:val="nl-NL"/>
        </w:rPr>
        <w:t>giãn</w:t>
      </w:r>
      <w:r w:rsidRPr="00BA118E">
        <w:rPr>
          <w:b/>
          <w:szCs w:val="28"/>
          <w:lang w:val="nl-NL"/>
        </w:rPr>
        <w:t xml:space="preserve"> dân tại làng Xộp, xã Mô Rai, huyện Sa Thầy, tỉnh Kon Tum.</w:t>
      </w:r>
    </w:p>
    <w:p w14:paraId="4AF25A2B" w14:textId="0AEDF29E" w:rsidR="00F56DFC" w:rsidRPr="00BA118E" w:rsidRDefault="00F56DFC" w:rsidP="00BA118E">
      <w:pPr>
        <w:spacing w:before="60" w:after="60" w:line="264" w:lineRule="auto"/>
        <w:ind w:firstLine="709"/>
        <w:jc w:val="both"/>
        <w:rPr>
          <w:szCs w:val="28"/>
          <w:lang w:val="nl-NL"/>
        </w:rPr>
      </w:pPr>
      <w:r w:rsidRPr="00BA118E">
        <w:rPr>
          <w:szCs w:val="28"/>
          <w:lang w:val="nl-NL"/>
        </w:rPr>
        <w:t>Đề nghị Ủy ban nhân dân tỉnh tiếp thu, giải trình một số nội dung sau:</w:t>
      </w:r>
    </w:p>
    <w:p w14:paraId="585C6DBC" w14:textId="5C562722" w:rsidR="00F56DFC" w:rsidRPr="00BA118E" w:rsidRDefault="00DB38B7" w:rsidP="00BA118E">
      <w:pPr>
        <w:spacing w:before="60" w:after="60" w:line="264" w:lineRule="auto"/>
        <w:ind w:firstLine="709"/>
        <w:jc w:val="both"/>
        <w:rPr>
          <w:szCs w:val="28"/>
          <w:lang w:val="nl-NL"/>
        </w:rPr>
      </w:pPr>
      <w:r w:rsidRPr="00BA118E">
        <w:rPr>
          <w:strike/>
          <w:szCs w:val="28"/>
          <w:lang w:val="nl-NL"/>
        </w:rPr>
        <w:t>-</w:t>
      </w:r>
      <w:r w:rsidR="00F56DFC" w:rsidRPr="00BA118E">
        <w:rPr>
          <w:szCs w:val="28"/>
          <w:lang w:val="nl-NL"/>
        </w:rPr>
        <w:t xml:space="preserve"> Báo cáo hiện trạng khu đất xây dựng bổ sung, diện tích các loại rừng, trong đó diện tích rừng, đất lâm nghiệp phải chuyển đổi theo quy định; Quy hoạch, kế hoạch sử dụng đất cấp huyện. </w:t>
      </w:r>
    </w:p>
    <w:p w14:paraId="50298E18" w14:textId="78AA3703" w:rsidR="00E62923" w:rsidRPr="00BA118E" w:rsidRDefault="00DB38B7" w:rsidP="00BA118E">
      <w:pPr>
        <w:spacing w:before="60" w:after="60" w:line="264" w:lineRule="auto"/>
        <w:ind w:firstLine="709"/>
        <w:jc w:val="both"/>
        <w:rPr>
          <w:szCs w:val="28"/>
          <w:lang w:val="nl-NL"/>
        </w:rPr>
      </w:pPr>
      <w:r w:rsidRPr="00BA118E">
        <w:rPr>
          <w:szCs w:val="28"/>
          <w:lang w:val="nl-NL"/>
        </w:rPr>
        <w:t>-</w:t>
      </w:r>
      <w:r w:rsidR="00F56DFC" w:rsidRPr="00BA118E">
        <w:rPr>
          <w:szCs w:val="28"/>
          <w:lang w:val="nl-NL"/>
        </w:rPr>
        <w:t xml:space="preserve"> Việc điều chỉnh mục tiêu, quy mô của dự án gắn với đầu tư cơ sở hạ tầng phục vụ giãn dân và bố trí dân cư, đề nghị đánh giá hiệu quả kinh tế - xã hội của dự án.</w:t>
      </w:r>
      <w:r w:rsidR="00E62923" w:rsidRPr="00BA118E">
        <w:rPr>
          <w:szCs w:val="28"/>
          <w:lang w:val="nl-NL"/>
        </w:rPr>
        <w:t xml:space="preserve"> </w:t>
      </w:r>
    </w:p>
    <w:p w14:paraId="718B1D17" w14:textId="77FF8649" w:rsidR="00F56DFC" w:rsidRPr="00BA118E" w:rsidRDefault="00F56DFC" w:rsidP="00BA118E">
      <w:pPr>
        <w:pStyle w:val="ListParagraph"/>
        <w:numPr>
          <w:ilvl w:val="0"/>
          <w:numId w:val="2"/>
        </w:numPr>
        <w:tabs>
          <w:tab w:val="left" w:pos="1134"/>
        </w:tabs>
        <w:spacing w:before="60" w:after="60" w:line="264" w:lineRule="auto"/>
        <w:ind w:left="0" w:firstLine="709"/>
        <w:jc w:val="both"/>
        <w:rPr>
          <w:b/>
          <w:szCs w:val="28"/>
          <w:lang w:val="nl-NL"/>
        </w:rPr>
      </w:pPr>
      <w:r w:rsidRPr="00BA118E">
        <w:rPr>
          <w:b/>
          <w:szCs w:val="28"/>
          <w:lang w:val="nl-NL"/>
        </w:rPr>
        <w:t>Nghị quyết về Kế hoạch vay, trả nợ 05 năm giai đoạn 2021 - 2025 của tỉnh Kon Tum</w:t>
      </w:r>
    </w:p>
    <w:p w14:paraId="540AA16C" w14:textId="65815CA1" w:rsidR="00F56DFC" w:rsidRPr="00FA55BF" w:rsidRDefault="00F56DFC" w:rsidP="00BA118E">
      <w:pPr>
        <w:spacing w:before="60" w:after="60" w:line="264" w:lineRule="auto"/>
        <w:ind w:firstLine="709"/>
        <w:jc w:val="both"/>
        <w:rPr>
          <w:szCs w:val="28"/>
          <w:lang w:val="nl-NL"/>
        </w:rPr>
      </w:pPr>
      <w:r w:rsidRPr="00FA55BF">
        <w:rPr>
          <w:szCs w:val="28"/>
          <w:lang w:val="nl-NL"/>
        </w:rPr>
        <w:t>Đề nghị Ủy ban nhân dân tỉnh tiếp thu, giải trình một số nội dung sau:</w:t>
      </w:r>
    </w:p>
    <w:p w14:paraId="36DFA0C0" w14:textId="77777777" w:rsidR="00F56DFC" w:rsidRPr="00FA55BF" w:rsidRDefault="00F56DFC" w:rsidP="00BA118E">
      <w:pPr>
        <w:spacing w:before="60" w:after="60" w:line="264" w:lineRule="auto"/>
        <w:ind w:firstLine="709"/>
        <w:jc w:val="both"/>
        <w:rPr>
          <w:szCs w:val="28"/>
          <w:lang w:val="nl-NL"/>
        </w:rPr>
      </w:pPr>
      <w:r w:rsidRPr="00BA118E">
        <w:rPr>
          <w:szCs w:val="28"/>
          <w:lang w:val="nl-NL"/>
        </w:rPr>
        <w:lastRenderedPageBreak/>
        <w:t xml:space="preserve">- Tại Biểu số 02 kèm theo dự thảo nghị quyết, đề nghị biên tập lại nội dung </w:t>
      </w:r>
      <w:r w:rsidRPr="00BA118E">
        <w:rPr>
          <w:i/>
          <w:iCs/>
          <w:szCs w:val="28"/>
          <w:lang w:val="nl-NL"/>
        </w:rPr>
        <w:t>“Dự phòng kế hoạch vay cho các dự án dự kiến phát sinh mới”</w:t>
      </w:r>
      <w:r w:rsidRPr="00BA118E">
        <w:rPr>
          <w:szCs w:val="28"/>
          <w:lang w:val="nl-NL"/>
        </w:rPr>
        <w:t xml:space="preserve"> cho phù hợp. </w:t>
      </w:r>
    </w:p>
    <w:p w14:paraId="3C26AA89" w14:textId="77777777" w:rsidR="00F56DFC" w:rsidRPr="00BA118E" w:rsidRDefault="00F56DFC" w:rsidP="00BA118E">
      <w:pPr>
        <w:spacing w:before="60" w:after="60" w:line="264" w:lineRule="auto"/>
        <w:ind w:firstLine="709"/>
        <w:jc w:val="both"/>
        <w:rPr>
          <w:szCs w:val="28"/>
        </w:rPr>
      </w:pPr>
      <w:r w:rsidRPr="00BA118E">
        <w:rPr>
          <w:szCs w:val="28"/>
        </w:rPr>
        <w:t xml:space="preserve">- Đối với Dự án cải thiện cơ sở hạ tầng môi trường đô thị giảm thiểu tác động biến đổi khí hậu thành phố Kon Tum, tại Biểu số liệu, đề nghị làm rõ vì sao địa phương không phải trả lãi và phí vay trong cả giai đoạn 2021-2025 </w:t>
      </w:r>
      <w:r w:rsidRPr="00BA118E">
        <w:rPr>
          <w:i/>
          <w:szCs w:val="28"/>
        </w:rPr>
        <w:t>(trong khi cơ chế tài chính tại Biểu kèm theo dự thảo nghị quyết vẫn xác định tỷ lệ Lãi và các loại phí vay tương ứng 2%, 0</w:t>
      </w:r>
      <w:proofErr w:type="gramStart"/>
      <w:r w:rsidRPr="00BA118E">
        <w:rPr>
          <w:i/>
          <w:szCs w:val="28"/>
        </w:rPr>
        <w:t>,25</w:t>
      </w:r>
      <w:proofErr w:type="gramEnd"/>
      <w:r w:rsidRPr="00BA118E">
        <w:rPr>
          <w:i/>
          <w:szCs w:val="28"/>
        </w:rPr>
        <w:t>%)</w:t>
      </w:r>
      <w:r w:rsidRPr="00BA118E">
        <w:rPr>
          <w:iCs/>
          <w:szCs w:val="28"/>
        </w:rPr>
        <w:t>.</w:t>
      </w:r>
    </w:p>
    <w:p w14:paraId="326919DE" w14:textId="77777777" w:rsidR="00F56DFC" w:rsidRPr="00BA118E" w:rsidRDefault="00F56DFC" w:rsidP="00BA118E">
      <w:pPr>
        <w:spacing w:before="60" w:after="60" w:line="264" w:lineRule="auto"/>
        <w:ind w:firstLine="709"/>
        <w:jc w:val="both"/>
        <w:rPr>
          <w:szCs w:val="28"/>
        </w:rPr>
      </w:pPr>
      <w:r w:rsidRPr="00BA118E">
        <w:rPr>
          <w:szCs w:val="28"/>
        </w:rPr>
        <w:t>- Đối chiếu số liệu giữa kế hoạch vay trả nợ công giai đoạn 2021-2025 theo dự thảo Nghị quyết trình Kỳ họp chuyên đề và Nghị quyết số 70/2020/NQ-HĐND ngày 09/12/2020 về Kế hoạch tài chính 05 năm giai đoạn 2021-2025 có sự chênh lệch số liệu về kế hoạch vay, trả nợ vay (gốc) giai đoạn 2021-2025, đề nghị báo cáo làm rõ.</w:t>
      </w:r>
    </w:p>
    <w:p w14:paraId="40516FA6" w14:textId="1D1F5D1B" w:rsidR="00F36224" w:rsidRPr="00BA118E" w:rsidRDefault="00F36224" w:rsidP="00BA118E">
      <w:pPr>
        <w:pStyle w:val="ListParagraph"/>
        <w:numPr>
          <w:ilvl w:val="0"/>
          <w:numId w:val="2"/>
        </w:numPr>
        <w:tabs>
          <w:tab w:val="left" w:pos="1134"/>
        </w:tabs>
        <w:spacing w:before="60" w:after="60" w:line="264" w:lineRule="auto"/>
        <w:ind w:left="0" w:firstLine="709"/>
        <w:jc w:val="both"/>
        <w:rPr>
          <w:b/>
          <w:szCs w:val="28"/>
          <w:lang w:val="nl-NL"/>
        </w:rPr>
      </w:pPr>
      <w:r w:rsidRPr="00BA118E">
        <w:rPr>
          <w:b/>
          <w:szCs w:val="28"/>
          <w:lang w:val="nl-NL"/>
        </w:rPr>
        <w:t xml:space="preserve">Nghị quyết về Danh mục các dự án cần thu hồi </w:t>
      </w:r>
      <w:r w:rsidR="00CD6C79" w:rsidRPr="00BA118E">
        <w:rPr>
          <w:b/>
          <w:szCs w:val="28"/>
          <w:lang w:val="nl-NL"/>
        </w:rPr>
        <w:t xml:space="preserve">đất </w:t>
      </w:r>
      <w:r w:rsidRPr="00BA118E">
        <w:rPr>
          <w:b/>
          <w:szCs w:val="28"/>
          <w:lang w:val="nl-NL"/>
        </w:rPr>
        <w:t>năm 2021 và các dự án có nhu cầu chuyển mục đích sử dụng đất</w:t>
      </w:r>
      <w:r w:rsidR="00CD6C79" w:rsidRPr="00BA118E">
        <w:rPr>
          <w:b/>
          <w:szCs w:val="28"/>
          <w:lang w:val="nl-NL"/>
        </w:rPr>
        <w:t xml:space="preserve"> trồng</w:t>
      </w:r>
      <w:r w:rsidRPr="00BA118E">
        <w:rPr>
          <w:b/>
          <w:szCs w:val="28"/>
          <w:lang w:val="nl-NL"/>
        </w:rPr>
        <w:t xml:space="preserve"> lúa </w:t>
      </w:r>
      <w:r w:rsidR="00CD6C79" w:rsidRPr="00BA118E">
        <w:rPr>
          <w:b/>
          <w:szCs w:val="28"/>
          <w:lang w:val="nl-NL"/>
        </w:rPr>
        <w:t>vào</w:t>
      </w:r>
      <w:r w:rsidRPr="00BA118E">
        <w:rPr>
          <w:b/>
          <w:szCs w:val="28"/>
          <w:lang w:val="nl-NL"/>
        </w:rPr>
        <w:t xml:space="preserve"> </w:t>
      </w:r>
      <w:r w:rsidR="00CD6C79" w:rsidRPr="00BA118E">
        <w:rPr>
          <w:b/>
          <w:szCs w:val="28"/>
          <w:lang w:val="nl-NL"/>
        </w:rPr>
        <w:t>mục đích</w:t>
      </w:r>
      <w:r w:rsidRPr="00BA118E">
        <w:rPr>
          <w:b/>
          <w:szCs w:val="28"/>
          <w:lang w:val="nl-NL"/>
        </w:rPr>
        <w:t xml:space="preserve"> khác trên địa bàn tỉnh Kon Tum (bổ sung).</w:t>
      </w:r>
      <w:r w:rsidRPr="00BA118E">
        <w:rPr>
          <w:b/>
          <w:szCs w:val="28"/>
          <w:highlight w:val="yellow"/>
          <w:lang w:val="nl-NL"/>
        </w:rPr>
        <w:t xml:space="preserve"> </w:t>
      </w:r>
    </w:p>
    <w:p w14:paraId="6E5BE4EC" w14:textId="1878F209" w:rsidR="00F56DFC" w:rsidRPr="00FA55BF" w:rsidRDefault="00BA118E" w:rsidP="00BA118E">
      <w:pPr>
        <w:shd w:val="clear" w:color="auto" w:fill="FFFFFF"/>
        <w:spacing w:before="60" w:after="60" w:line="264" w:lineRule="auto"/>
        <w:ind w:firstLine="709"/>
        <w:jc w:val="both"/>
        <w:rPr>
          <w:rFonts w:eastAsia="Times New Roman"/>
          <w:szCs w:val="28"/>
          <w:lang w:val="nl-NL"/>
        </w:rPr>
      </w:pPr>
      <w:r w:rsidRPr="00FA55BF">
        <w:rPr>
          <w:rFonts w:eastAsia="Times New Roman"/>
          <w:szCs w:val="28"/>
          <w:lang w:val="nl-NL"/>
        </w:rPr>
        <w:t xml:space="preserve">Đề </w:t>
      </w:r>
      <w:r w:rsidR="00F56DFC" w:rsidRPr="00FA55BF">
        <w:rPr>
          <w:rFonts w:eastAsia="Times New Roman"/>
          <w:szCs w:val="28"/>
          <w:lang w:val="nl-NL"/>
        </w:rPr>
        <w:t>nghị Ủy ban nhân dân tỉnh tiếp thu, giải trình một số nội dung sau:</w:t>
      </w:r>
    </w:p>
    <w:p w14:paraId="566A17B6" w14:textId="02AAA530" w:rsidR="00F56DFC" w:rsidRPr="00FA55BF" w:rsidRDefault="00500770" w:rsidP="00BA118E">
      <w:pPr>
        <w:shd w:val="clear" w:color="auto" w:fill="FFFFFF"/>
        <w:spacing w:before="60" w:after="60" w:line="264" w:lineRule="auto"/>
        <w:ind w:firstLine="709"/>
        <w:jc w:val="both"/>
        <w:rPr>
          <w:rFonts w:eastAsia="Times New Roman"/>
          <w:szCs w:val="28"/>
          <w:lang w:val="nl-NL"/>
        </w:rPr>
      </w:pPr>
      <w:r w:rsidRPr="00FA55BF">
        <w:rPr>
          <w:rFonts w:eastAsia="Times New Roman"/>
          <w:szCs w:val="28"/>
          <w:lang w:val="nl-NL"/>
        </w:rPr>
        <w:t xml:space="preserve"> </w:t>
      </w:r>
      <w:r w:rsidR="00F56DFC" w:rsidRPr="00FA55BF">
        <w:rPr>
          <w:rFonts w:eastAsia="Times New Roman"/>
          <w:szCs w:val="28"/>
          <w:lang w:val="nl-NL"/>
        </w:rPr>
        <w:t>Căn cứ Khoản 6 Điều 46 Thông tư số 01/2021/TT-BTNMT ngày 12 tháng 4 năm 2021 của Bộ trưởng Bộ Tài nguyên và Môi trường về việc Quy định kỹ thuật việc lập, điều chỉnh quy hoạch, kế hoạch sử dụng đất. Ban Kinh tế - Ngân sách đề nghị Ủy ban nhân dân tỉnh rà soát, không trình Hội đồng nhân dân tỉnh danh mục các dự án, công trình cần thu hồi đất mà chưa bố trí vốn để thực hiện trong năm kế hoạch. Đồng thời, chỉ đạo tổng hợp danh mục dự án cần thu hồi đất quy định tại khoản 3 Điều 62 Luật đất đai và dự án có nhu cầu chuyển mục đích sử dụng đất trồng lúa vào mục đích khác trên địa bàn tỉnh Kon Tum năm 2022, trình Hội đồng nhân dân tỉnh thông qua theo quy định.</w:t>
      </w:r>
    </w:p>
    <w:p w14:paraId="0F351A1C" w14:textId="15912523" w:rsidR="00F36224" w:rsidRPr="00BA118E" w:rsidRDefault="00F36224" w:rsidP="00BA118E">
      <w:pPr>
        <w:pStyle w:val="ListParagraph"/>
        <w:numPr>
          <w:ilvl w:val="0"/>
          <w:numId w:val="2"/>
        </w:numPr>
        <w:tabs>
          <w:tab w:val="left" w:pos="1134"/>
        </w:tabs>
        <w:spacing w:before="60" w:after="60" w:line="264" w:lineRule="auto"/>
        <w:ind w:left="0" w:firstLine="709"/>
        <w:jc w:val="both"/>
        <w:rPr>
          <w:b/>
          <w:szCs w:val="28"/>
          <w:lang w:val="nl-NL"/>
        </w:rPr>
      </w:pPr>
      <w:r w:rsidRPr="00BA118E">
        <w:rPr>
          <w:b/>
          <w:szCs w:val="28"/>
          <w:lang w:val="nl-NL"/>
        </w:rPr>
        <w:t xml:space="preserve">Nghị quyết về </w:t>
      </w:r>
      <w:r w:rsidR="00CD6C79" w:rsidRPr="00FA55BF">
        <w:rPr>
          <w:b/>
          <w:szCs w:val="28"/>
          <w:lang w:val="nl-NL"/>
        </w:rPr>
        <w:t>bổ sung dự án trong kế hoạch sử dụng đất kỳ cuối (2016-2020) cấp tỉnh</w:t>
      </w:r>
    </w:p>
    <w:p w14:paraId="6A49E72C" w14:textId="72E9F206" w:rsidR="00F56DFC" w:rsidRPr="00FA55BF" w:rsidRDefault="00F56DFC" w:rsidP="00BA118E">
      <w:pPr>
        <w:widowControl w:val="0"/>
        <w:autoSpaceDE w:val="0"/>
        <w:autoSpaceDN w:val="0"/>
        <w:adjustRightInd w:val="0"/>
        <w:spacing w:before="60" w:after="60" w:line="264" w:lineRule="auto"/>
        <w:ind w:firstLine="709"/>
        <w:jc w:val="both"/>
        <w:rPr>
          <w:rFonts w:eastAsia="Times New Roman"/>
          <w:szCs w:val="28"/>
          <w:lang w:val="nl-NL"/>
        </w:rPr>
      </w:pPr>
      <w:r w:rsidRPr="00FA55BF">
        <w:rPr>
          <w:rFonts w:eastAsia="Times New Roman"/>
          <w:szCs w:val="28"/>
          <w:lang w:val="nl-NL"/>
        </w:rPr>
        <w:t>Đề nghị Ủy ban nhân dân tỉnh tiếp thu, giải trình một số nội dung sau:</w:t>
      </w:r>
    </w:p>
    <w:p w14:paraId="30368416" w14:textId="77777777" w:rsidR="00F56DFC" w:rsidRPr="00FA55BF" w:rsidRDefault="00F56DFC" w:rsidP="00BA118E">
      <w:pPr>
        <w:widowControl w:val="0"/>
        <w:autoSpaceDE w:val="0"/>
        <w:autoSpaceDN w:val="0"/>
        <w:adjustRightInd w:val="0"/>
        <w:spacing w:before="60" w:after="60" w:line="264" w:lineRule="auto"/>
        <w:ind w:firstLine="709"/>
        <w:jc w:val="both"/>
        <w:rPr>
          <w:rFonts w:eastAsia="Times New Roman"/>
          <w:szCs w:val="28"/>
          <w:lang w:val="nl-NL"/>
        </w:rPr>
      </w:pPr>
      <w:r w:rsidRPr="00FA55BF">
        <w:rPr>
          <w:rFonts w:eastAsia="Times New Roman"/>
          <w:szCs w:val="28"/>
          <w:lang w:val="nl-NL"/>
        </w:rPr>
        <w:t xml:space="preserve">- Rà soát, cân đối chỉ tiêu sử dụng đất trên địa bàn các huyện, thành phố phù hợp kế hoạch sử dụng đất cấp tỉnh đã được phê duyệt và nhu cầu sử dụng cho các dự án, công trình; chịu trách nhiệm về tính chính xác của các thông tin, số liệu về chỉ tiêu sử dụng đất; hoàn thiện các hồ sơ, thủ tục liên quan theo quy định trước khi cập nhật và phê duyệt điều chỉnh quy hoạch, kế hoạch sử dụng đất cấp huyện để tổ chức thực hiện theo quy định. </w:t>
      </w:r>
    </w:p>
    <w:p w14:paraId="5DC67257" w14:textId="3AC20F6D" w:rsidR="00F56DFC" w:rsidRPr="00BA118E" w:rsidRDefault="00F56DFC" w:rsidP="00BA118E">
      <w:pPr>
        <w:widowControl w:val="0"/>
        <w:autoSpaceDE w:val="0"/>
        <w:autoSpaceDN w:val="0"/>
        <w:adjustRightInd w:val="0"/>
        <w:spacing w:before="60" w:after="60" w:line="264" w:lineRule="auto"/>
        <w:ind w:firstLine="709"/>
        <w:jc w:val="both"/>
        <w:rPr>
          <w:rFonts w:eastAsia="Times New Roman"/>
          <w:szCs w:val="28"/>
        </w:rPr>
      </w:pPr>
      <w:r w:rsidRPr="00FA55BF">
        <w:rPr>
          <w:rFonts w:eastAsia="Times New Roman"/>
          <w:szCs w:val="28"/>
          <w:lang w:val="nl-NL"/>
        </w:rPr>
        <w:tab/>
      </w:r>
      <w:r w:rsidRPr="00BA118E">
        <w:rPr>
          <w:rFonts w:eastAsia="Times New Roman"/>
          <w:szCs w:val="28"/>
        </w:rPr>
        <w:t xml:space="preserve">- Chỉ đạo bổ sung đánh giá tác động, ảnh hưởng đến môi trường của các dự </w:t>
      </w:r>
      <w:proofErr w:type="gramStart"/>
      <w:r w:rsidRPr="00BA118E">
        <w:rPr>
          <w:rFonts w:eastAsia="Times New Roman"/>
          <w:szCs w:val="28"/>
        </w:rPr>
        <w:t>án</w:t>
      </w:r>
      <w:proofErr w:type="gramEnd"/>
      <w:r w:rsidRPr="00BA118E">
        <w:rPr>
          <w:rFonts w:eastAsia="Times New Roman"/>
          <w:szCs w:val="28"/>
        </w:rPr>
        <w:t xml:space="preserve"> trước khi quyết định cập nhật vào quy hoạch, kế hoạch sử dụng đất cấp huyện để tổ chức thực hiện.</w:t>
      </w:r>
    </w:p>
    <w:p w14:paraId="61E7E53D" w14:textId="77777777" w:rsidR="005A7E34" w:rsidRPr="00BA118E" w:rsidRDefault="005A7E34" w:rsidP="00BA118E">
      <w:pPr>
        <w:pStyle w:val="ListParagraph"/>
        <w:numPr>
          <w:ilvl w:val="0"/>
          <w:numId w:val="2"/>
        </w:numPr>
        <w:tabs>
          <w:tab w:val="left" w:pos="1134"/>
        </w:tabs>
        <w:spacing w:before="60" w:after="60" w:line="264" w:lineRule="auto"/>
        <w:ind w:left="0" w:firstLine="709"/>
        <w:jc w:val="both"/>
        <w:rPr>
          <w:rFonts w:eastAsia="Cambria"/>
          <w:b/>
          <w:szCs w:val="28"/>
        </w:rPr>
      </w:pPr>
      <w:r w:rsidRPr="00BA118E">
        <w:rPr>
          <w:rFonts w:eastAsia="Cambria"/>
          <w:b/>
          <w:szCs w:val="28"/>
        </w:rPr>
        <w:lastRenderedPageBreak/>
        <w:t xml:space="preserve">Nghị quyết về Chủ trương chuyển mục đích sử dụng rừng sang mục đích khác trên địa bàn tỉnh Kon Tum. </w:t>
      </w:r>
    </w:p>
    <w:p w14:paraId="01B2F46A" w14:textId="68A7A4EF" w:rsidR="005A7E34" w:rsidRPr="00BA118E" w:rsidRDefault="005A7E34" w:rsidP="00BA118E">
      <w:pPr>
        <w:widowControl w:val="0"/>
        <w:autoSpaceDE w:val="0"/>
        <w:autoSpaceDN w:val="0"/>
        <w:adjustRightInd w:val="0"/>
        <w:spacing w:before="60" w:after="60" w:line="264" w:lineRule="auto"/>
        <w:ind w:firstLine="709"/>
        <w:jc w:val="both"/>
        <w:rPr>
          <w:szCs w:val="28"/>
          <w:lang w:val="nl-NL"/>
        </w:rPr>
      </w:pPr>
      <w:r w:rsidRPr="00BA118E">
        <w:rPr>
          <w:szCs w:val="28"/>
          <w:lang w:val="nl-NL"/>
        </w:rPr>
        <w:t>Ban Kinh tế - Ngân sách nhận thấy: (1) Dự án Khu nhà ở liền kề có vườn tại thị trấn Măng Đen, huyện Kon Plông; (2) Dự án Di dời đường dây trung, hạ áp nằm trong phạm vi giải phóng mặt bằng Gói thầu số 4, Gói thầu số 5 thuộc dự án thành phần 2 (đoạn qua tỉnh Kon Tum) dự án cải tạo, nâng cấp các đoạn xung yếu trên Quốc lộ 24; (3) Dự án Đường giao thông từ trung tâm huyện Sa Thầy đến Nhà máy thủy điện IaLy đều phù hợp với quy hoạch, kế hoạch sử dụng đất</w:t>
      </w:r>
      <w:r w:rsidR="00E4278A" w:rsidRPr="00BA118E">
        <w:rPr>
          <w:vertAlign w:val="superscript"/>
          <w:lang w:val="vi-VN"/>
        </w:rPr>
        <w:t>(</w:t>
      </w:r>
      <w:r w:rsidR="00E4278A" w:rsidRPr="00BA118E">
        <w:rPr>
          <w:rStyle w:val="FootnoteReference"/>
          <w:lang w:val="pt-BR"/>
        </w:rPr>
        <w:footnoteReference w:id="6"/>
      </w:r>
      <w:r w:rsidR="00E4278A" w:rsidRPr="00BA118E">
        <w:rPr>
          <w:vertAlign w:val="superscript"/>
        </w:rPr>
        <w:t>)</w:t>
      </w:r>
      <w:r w:rsidRPr="00BA118E">
        <w:rPr>
          <w:szCs w:val="28"/>
          <w:lang w:val="nl-NL"/>
        </w:rPr>
        <w:t>, quy hoạch lâm nghiệp</w:t>
      </w:r>
      <w:r w:rsidR="00E4278A" w:rsidRPr="00BA118E">
        <w:rPr>
          <w:vertAlign w:val="superscript"/>
          <w:lang w:val="vi-VN"/>
        </w:rPr>
        <w:t>(</w:t>
      </w:r>
      <w:r w:rsidR="00E4278A" w:rsidRPr="00BA118E">
        <w:rPr>
          <w:rStyle w:val="FootnoteReference"/>
          <w:lang w:val="pt-BR"/>
        </w:rPr>
        <w:footnoteReference w:id="7"/>
      </w:r>
      <w:r w:rsidR="00E4278A" w:rsidRPr="00BA118E">
        <w:rPr>
          <w:vertAlign w:val="superscript"/>
        </w:rPr>
        <w:t>)</w:t>
      </w:r>
      <w:r w:rsidRPr="00BA118E">
        <w:rPr>
          <w:szCs w:val="28"/>
          <w:lang w:val="nl-NL"/>
        </w:rPr>
        <w:t>. Hồ sơ các dự án đã được Ủy ban nhân dân tỉnh thẩm định đảm bảo đủ điều kiện trình Hội đồng nhân dân tỉnh theo quy định</w:t>
      </w:r>
      <w:r w:rsidR="00E4278A" w:rsidRPr="00BA118E">
        <w:rPr>
          <w:vertAlign w:val="superscript"/>
          <w:lang w:val="nl-NL"/>
        </w:rPr>
        <w:t>(</w:t>
      </w:r>
      <w:r w:rsidR="00E4278A" w:rsidRPr="00BA118E">
        <w:rPr>
          <w:rStyle w:val="FootnoteReference"/>
          <w:lang w:val="nl-NL"/>
        </w:rPr>
        <w:footnoteReference w:id="8"/>
      </w:r>
      <w:r w:rsidR="00E4278A" w:rsidRPr="00BA118E">
        <w:rPr>
          <w:vertAlign w:val="superscript"/>
          <w:lang w:val="nl-NL"/>
        </w:rPr>
        <w:t>)</w:t>
      </w:r>
      <w:r w:rsidRPr="00BA118E">
        <w:rPr>
          <w:szCs w:val="28"/>
          <w:lang w:val="nl-NL"/>
        </w:rPr>
        <w:t>. Bên cạnh đó, việc chuyển mục đích sử dụng rừng sang mục đích khác đối với Dự án (2) đã Ban Thường vụ Tỉnh ủy thống nhất chủ</w:t>
      </w:r>
      <w:r w:rsidR="00C94342" w:rsidRPr="00BA118E">
        <w:rPr>
          <w:szCs w:val="28"/>
          <w:lang w:val="nl-NL"/>
        </w:rPr>
        <w:t xml:space="preserve"> trương</w:t>
      </w:r>
      <w:r w:rsidR="00C94342" w:rsidRPr="00BA118E">
        <w:rPr>
          <w:szCs w:val="28"/>
          <w:vertAlign w:val="superscript"/>
          <w:lang w:val="de-DE"/>
        </w:rPr>
        <w:t>(</w:t>
      </w:r>
      <w:r w:rsidR="00C94342" w:rsidRPr="00BA118E">
        <w:rPr>
          <w:rStyle w:val="FootnoteReference"/>
          <w:szCs w:val="28"/>
          <w:lang w:val="de-DE"/>
        </w:rPr>
        <w:footnoteReference w:id="9"/>
      </w:r>
      <w:r w:rsidR="00C94342" w:rsidRPr="00BA118E">
        <w:rPr>
          <w:szCs w:val="28"/>
          <w:vertAlign w:val="superscript"/>
          <w:lang w:val="de-DE"/>
        </w:rPr>
        <w:t>)</w:t>
      </w:r>
      <w:r w:rsidRPr="00BA118E">
        <w:rPr>
          <w:szCs w:val="28"/>
          <w:lang w:val="nl-NL"/>
        </w:rPr>
        <w:t xml:space="preserve">. Ban Kinh tế - Ngân sách cơ bản thống nhất nội dung dự thảo Nghị quyết tại Tờ trình số 171/TTr-UBND ngày 06 tháng 10 năm 2021. </w:t>
      </w:r>
    </w:p>
    <w:p w14:paraId="2EA2C5FD" w14:textId="495733D7" w:rsidR="005A7E34" w:rsidRPr="00BA118E" w:rsidRDefault="005A7E34" w:rsidP="00BA118E">
      <w:pPr>
        <w:widowControl w:val="0"/>
        <w:autoSpaceDE w:val="0"/>
        <w:autoSpaceDN w:val="0"/>
        <w:adjustRightInd w:val="0"/>
        <w:spacing w:before="60" w:after="60" w:line="264" w:lineRule="auto"/>
        <w:ind w:firstLine="709"/>
        <w:jc w:val="both"/>
        <w:rPr>
          <w:szCs w:val="28"/>
          <w:lang w:val="nl-NL"/>
        </w:rPr>
      </w:pPr>
      <w:r w:rsidRPr="00BA118E">
        <w:rPr>
          <w:szCs w:val="28"/>
          <w:lang w:val="nl-NL"/>
        </w:rPr>
        <w:t>Đề nghị Ủy ban nhân dân tỉnh chỉ đạo rà soát, hoàn thiện các hồ sơ thủ tục theo đúng quy định trước khi chuyển mục đích sử dụng rừng sang mục đích khác và chịu trách nhiệm về tính chính xác của các thông tin, số liệu liên quan đến các dự án nêu trên.</w:t>
      </w:r>
    </w:p>
    <w:p w14:paraId="438A01A9" w14:textId="4330C676" w:rsidR="00E62923" w:rsidRPr="00BA118E" w:rsidRDefault="00E62923" w:rsidP="00BA118E">
      <w:pPr>
        <w:pStyle w:val="ListParagraph"/>
        <w:numPr>
          <w:ilvl w:val="0"/>
          <w:numId w:val="2"/>
        </w:numPr>
        <w:tabs>
          <w:tab w:val="left" w:pos="1134"/>
        </w:tabs>
        <w:spacing w:before="60" w:after="60" w:line="264" w:lineRule="auto"/>
        <w:ind w:left="0" w:firstLine="709"/>
        <w:jc w:val="both"/>
        <w:rPr>
          <w:b/>
          <w:szCs w:val="28"/>
          <w:lang w:val="nl-NL"/>
        </w:rPr>
      </w:pPr>
      <w:r w:rsidRPr="00FA55BF">
        <w:rPr>
          <w:rFonts w:eastAsia="Cambria"/>
          <w:b/>
          <w:szCs w:val="28"/>
          <w:lang w:val="nl-NL"/>
        </w:rPr>
        <w:t xml:space="preserve">Nghị quyết </w:t>
      </w:r>
      <w:r w:rsidRPr="00BA118E">
        <w:rPr>
          <w:rFonts w:eastAsia="Cambria"/>
          <w:b/>
          <w:szCs w:val="28"/>
          <w:lang w:val="nl-NL"/>
        </w:rPr>
        <w:t>về G</w:t>
      </w:r>
      <w:r w:rsidRPr="00FA55BF">
        <w:rPr>
          <w:rFonts w:eastAsia="Cambria"/>
          <w:b/>
          <w:szCs w:val="28"/>
          <w:lang w:val="nl-NL"/>
        </w:rPr>
        <w:t xml:space="preserve">iảm mức thu phí sử dụng công trình kết cấu hạ tầng (đối với phương tiện ra, </w:t>
      </w:r>
      <w:r w:rsidRPr="00BA118E">
        <w:rPr>
          <w:b/>
          <w:szCs w:val="28"/>
          <w:lang w:val="nl-NL"/>
        </w:rPr>
        <w:t>vào</w:t>
      </w:r>
      <w:r w:rsidRPr="00FA55BF">
        <w:rPr>
          <w:rFonts w:eastAsia="Cambria"/>
          <w:b/>
          <w:szCs w:val="28"/>
          <w:lang w:val="nl-NL"/>
        </w:rPr>
        <w:t xml:space="preserve"> các cửa khẩu) trong Khu kinh tế cửa khẩu </w:t>
      </w:r>
      <w:r w:rsidR="00CD6C79" w:rsidRPr="00FA55BF">
        <w:rPr>
          <w:rFonts w:eastAsia="Cambria"/>
          <w:b/>
          <w:szCs w:val="28"/>
          <w:lang w:val="nl-NL"/>
        </w:rPr>
        <w:t xml:space="preserve">Quốc </w:t>
      </w:r>
      <w:r w:rsidRPr="00FA55BF">
        <w:rPr>
          <w:rFonts w:eastAsia="Cambria"/>
          <w:b/>
          <w:szCs w:val="28"/>
          <w:lang w:val="nl-NL"/>
        </w:rPr>
        <w:t>tế Bờ Y tỉnh Kon Tum do ảnh hưởng bởi dịch Covid-19</w:t>
      </w:r>
      <w:r w:rsidRPr="00BA118E">
        <w:rPr>
          <w:rFonts w:eastAsia="Cambria"/>
          <w:b/>
          <w:szCs w:val="28"/>
          <w:lang w:val="nl-NL"/>
        </w:rPr>
        <w:t xml:space="preserve">. </w:t>
      </w:r>
    </w:p>
    <w:p w14:paraId="76BA13A5" w14:textId="612C686D" w:rsidR="00F56DFC" w:rsidRPr="00FA55BF" w:rsidRDefault="00BA118E" w:rsidP="00BA118E">
      <w:pPr>
        <w:widowControl w:val="0"/>
        <w:autoSpaceDE w:val="0"/>
        <w:autoSpaceDN w:val="0"/>
        <w:adjustRightInd w:val="0"/>
        <w:spacing w:before="60" w:after="60" w:line="264" w:lineRule="auto"/>
        <w:ind w:firstLine="709"/>
        <w:jc w:val="both"/>
        <w:rPr>
          <w:rFonts w:eastAsia="Times New Roman"/>
          <w:szCs w:val="28"/>
          <w:lang w:val="nl-NL"/>
        </w:rPr>
      </w:pPr>
      <w:r w:rsidRPr="00FA55BF">
        <w:rPr>
          <w:rFonts w:eastAsia="Times New Roman"/>
          <w:szCs w:val="28"/>
          <w:lang w:val="nl-NL"/>
        </w:rPr>
        <w:t xml:space="preserve">Đề </w:t>
      </w:r>
      <w:r w:rsidR="00F56DFC" w:rsidRPr="00FA55BF">
        <w:rPr>
          <w:rFonts w:eastAsia="Times New Roman"/>
          <w:szCs w:val="28"/>
          <w:lang w:val="nl-NL"/>
        </w:rPr>
        <w:t>nghị Ủy ban nhân dân tỉnh tiếp thu, giải trình một số nội dung sau:</w:t>
      </w:r>
    </w:p>
    <w:p w14:paraId="5B90929B" w14:textId="77777777" w:rsidR="00F56DFC" w:rsidRPr="00FA55BF" w:rsidRDefault="00F56DFC" w:rsidP="00BA118E">
      <w:pPr>
        <w:widowControl w:val="0"/>
        <w:autoSpaceDE w:val="0"/>
        <w:autoSpaceDN w:val="0"/>
        <w:adjustRightInd w:val="0"/>
        <w:spacing w:before="60" w:after="60" w:line="264" w:lineRule="auto"/>
        <w:ind w:firstLine="709"/>
        <w:jc w:val="both"/>
        <w:rPr>
          <w:rFonts w:eastAsia="Times New Roman"/>
          <w:szCs w:val="28"/>
          <w:lang w:val="nl-NL"/>
        </w:rPr>
      </w:pPr>
      <w:r w:rsidRPr="00FA55BF">
        <w:rPr>
          <w:rFonts w:eastAsia="Times New Roman"/>
          <w:szCs w:val="28"/>
          <w:lang w:val="nl-NL"/>
        </w:rPr>
        <w:t>- Làm rõ cơ sở đề xuất và xác định tỷ lệ giảm bình quân (30%) mức thu phí sử dụng công trình kết cấu hạ tầng (đối với phương tiện ra, vào các cửa khẩu) trong Khu kinh tế cửa khẩu Quốc tế Bờ Y tỉnh; thời gian giảm mức thu phí: kể từ ngày Nghị quyết này có hiệu lực cho đến hết ngày 31 tháng 3 năm 2022.</w:t>
      </w:r>
    </w:p>
    <w:p w14:paraId="206E77CE" w14:textId="426F9DF8" w:rsidR="00E62923" w:rsidRPr="00BA118E" w:rsidRDefault="00E62923" w:rsidP="00BA118E">
      <w:pPr>
        <w:pStyle w:val="ListParagraph"/>
        <w:numPr>
          <w:ilvl w:val="0"/>
          <w:numId w:val="2"/>
        </w:numPr>
        <w:tabs>
          <w:tab w:val="left" w:pos="1134"/>
        </w:tabs>
        <w:spacing w:before="60" w:after="60" w:line="264" w:lineRule="auto"/>
        <w:ind w:left="0" w:firstLine="709"/>
        <w:jc w:val="both"/>
        <w:rPr>
          <w:b/>
          <w:szCs w:val="28"/>
          <w:lang w:val="nl-NL"/>
        </w:rPr>
      </w:pPr>
      <w:r w:rsidRPr="00BA118E">
        <w:rPr>
          <w:b/>
          <w:szCs w:val="28"/>
          <w:lang w:val="nl-NL"/>
        </w:rPr>
        <w:lastRenderedPageBreak/>
        <w:t xml:space="preserve">Nghị quyết Quy định về mức thu học phí giáo dục mầm non, giáo dục phổ thông công lập </w:t>
      </w:r>
      <w:r w:rsidR="007D7240" w:rsidRPr="00FA55BF">
        <w:rPr>
          <w:b/>
          <w:szCs w:val="28"/>
          <w:lang w:val="nl-NL"/>
        </w:rPr>
        <w:t xml:space="preserve">năm học 2021-2022 </w:t>
      </w:r>
      <w:r w:rsidRPr="00BA118E">
        <w:rPr>
          <w:b/>
          <w:szCs w:val="28"/>
          <w:lang w:val="nl-NL"/>
        </w:rPr>
        <w:t xml:space="preserve">và </w:t>
      </w:r>
      <w:r w:rsidR="007D7240" w:rsidRPr="00FA55BF">
        <w:rPr>
          <w:b/>
          <w:szCs w:val="28"/>
          <w:lang w:val="nl-NL"/>
        </w:rPr>
        <w:t>không thu học phí học kỳ I</w:t>
      </w:r>
      <w:r w:rsidRPr="00BA118E">
        <w:rPr>
          <w:b/>
          <w:szCs w:val="28"/>
          <w:lang w:val="nl-NL"/>
        </w:rPr>
        <w:t xml:space="preserve"> </w:t>
      </w:r>
      <w:r w:rsidR="007D7240" w:rsidRPr="00FA55BF">
        <w:rPr>
          <w:b/>
          <w:szCs w:val="28"/>
          <w:lang w:val="nl-NL"/>
        </w:rPr>
        <w:t>năm học 2021-2022 thuộc phạm vi quản lý của tỉnh Kon Tum</w:t>
      </w:r>
      <w:r w:rsidRPr="00BA118E">
        <w:rPr>
          <w:b/>
          <w:szCs w:val="28"/>
          <w:lang w:val="nl-NL"/>
        </w:rPr>
        <w:t>.</w:t>
      </w:r>
    </w:p>
    <w:bookmarkEnd w:id="0"/>
    <w:p w14:paraId="530140A1" w14:textId="7FAF036C" w:rsidR="00F56DFC" w:rsidRPr="00BA118E" w:rsidRDefault="00F56DFC" w:rsidP="00BA118E">
      <w:pPr>
        <w:widowControl w:val="0"/>
        <w:autoSpaceDE w:val="0"/>
        <w:autoSpaceDN w:val="0"/>
        <w:adjustRightInd w:val="0"/>
        <w:spacing w:before="60" w:after="60" w:line="264" w:lineRule="auto"/>
        <w:ind w:firstLine="709"/>
        <w:jc w:val="both"/>
        <w:rPr>
          <w:szCs w:val="28"/>
          <w:lang w:val="de-DE"/>
        </w:rPr>
      </w:pPr>
      <w:r w:rsidRPr="00BA118E">
        <w:rPr>
          <w:szCs w:val="28"/>
          <w:lang w:val="de-DE"/>
        </w:rPr>
        <w:t xml:space="preserve">Đề nghị </w:t>
      </w:r>
      <w:r w:rsidRPr="00BA118E">
        <w:rPr>
          <w:szCs w:val="28"/>
          <w:lang w:val="nl-NL"/>
        </w:rPr>
        <w:t>Ủy ban nhân dân tỉnh tiếp thu,</w:t>
      </w:r>
      <w:r w:rsidRPr="00BA118E">
        <w:rPr>
          <w:szCs w:val="28"/>
          <w:lang w:val="de-DE"/>
        </w:rPr>
        <w:t xml:space="preserve"> </w:t>
      </w:r>
      <w:r w:rsidRPr="00BA118E">
        <w:rPr>
          <w:szCs w:val="28"/>
          <w:lang w:val="nl-NL"/>
        </w:rPr>
        <w:t xml:space="preserve">giải trình và làm rõ </w:t>
      </w:r>
      <w:r w:rsidRPr="00BA118E">
        <w:rPr>
          <w:szCs w:val="28"/>
          <w:lang w:val="de-DE"/>
        </w:rPr>
        <w:t>một số nội dung sau:</w:t>
      </w:r>
    </w:p>
    <w:p w14:paraId="72192F63" w14:textId="77777777" w:rsidR="00F56DFC" w:rsidRPr="00BA118E" w:rsidRDefault="00F56DFC" w:rsidP="00BA118E">
      <w:pPr>
        <w:widowControl w:val="0"/>
        <w:spacing w:before="60" w:after="60" w:line="264" w:lineRule="auto"/>
        <w:ind w:firstLine="709"/>
        <w:jc w:val="both"/>
        <w:rPr>
          <w:strike/>
          <w:szCs w:val="28"/>
          <w:lang w:val="de-DE"/>
        </w:rPr>
      </w:pPr>
      <w:r w:rsidRPr="00BA118E">
        <w:rPr>
          <w:szCs w:val="28"/>
          <w:lang w:val="de-DE"/>
        </w:rPr>
        <w:t xml:space="preserve">- Theo Điều 17 Nghị định số 81/2021/NĐ-CP chỉ quy định </w:t>
      </w:r>
      <w:r w:rsidRPr="00BA118E">
        <w:rPr>
          <w:i/>
          <w:iCs/>
          <w:szCs w:val="28"/>
          <w:lang w:val="nl-NL"/>
        </w:rPr>
        <w:t>“...</w:t>
      </w:r>
      <w:r w:rsidRPr="00BA118E">
        <w:rPr>
          <w:i/>
          <w:iCs/>
          <w:szCs w:val="28"/>
          <w:lang w:val="de-DE"/>
        </w:rPr>
        <w:t xml:space="preserve">không thu học phí trong thời hạn nhất định đối với </w:t>
      </w:r>
      <w:r w:rsidRPr="00BA118E">
        <w:rPr>
          <w:b/>
          <w:bCs/>
          <w:i/>
          <w:iCs/>
          <w:szCs w:val="28"/>
          <w:lang w:val="de-DE"/>
        </w:rPr>
        <w:t>trẻ em học mẫu giáo...</w:t>
      </w:r>
      <w:r w:rsidRPr="00BA118E">
        <w:rPr>
          <w:i/>
          <w:iCs/>
          <w:szCs w:val="28"/>
          <w:lang w:val="nl-NL"/>
        </w:rPr>
        <w:t>”</w:t>
      </w:r>
      <w:r w:rsidRPr="00BA118E">
        <w:rPr>
          <w:szCs w:val="28"/>
          <w:lang w:val="nl-NL"/>
        </w:rPr>
        <w:t>; tuy nhiên, t</w:t>
      </w:r>
      <w:r w:rsidRPr="00BA118E">
        <w:rPr>
          <w:szCs w:val="28"/>
          <w:lang w:val="de-DE"/>
        </w:rPr>
        <w:t xml:space="preserve">ại Điều 2, dự thảo Nghị quyết </w:t>
      </w:r>
      <w:r w:rsidRPr="00BA118E">
        <w:rPr>
          <w:szCs w:val="28"/>
          <w:lang w:val="nl-NL"/>
        </w:rPr>
        <w:t xml:space="preserve">quy định </w:t>
      </w:r>
      <w:r w:rsidRPr="00BA118E">
        <w:rPr>
          <w:i/>
          <w:iCs/>
          <w:szCs w:val="28"/>
          <w:lang w:val="nl-NL"/>
        </w:rPr>
        <w:t xml:space="preserve">“Không thu học phí học kỳ I năm học 2021-2022 đối với </w:t>
      </w:r>
      <w:r w:rsidRPr="00BA118E">
        <w:rPr>
          <w:b/>
          <w:bCs/>
          <w:i/>
          <w:iCs/>
          <w:szCs w:val="28"/>
          <w:lang w:val="nl-NL"/>
        </w:rPr>
        <w:t>trẻ em học mầm non</w:t>
      </w:r>
      <w:r w:rsidRPr="00BA118E">
        <w:rPr>
          <w:szCs w:val="28"/>
          <w:shd w:val="clear" w:color="auto" w:fill="FFFFFF"/>
          <w:vertAlign w:val="superscript"/>
          <w:lang w:val="nl-NL"/>
        </w:rPr>
        <w:t>(</w:t>
      </w:r>
      <w:r w:rsidRPr="00BA118E">
        <w:rPr>
          <w:szCs w:val="28"/>
          <w:shd w:val="clear" w:color="auto" w:fill="FFFFFF"/>
          <w:vertAlign w:val="superscript"/>
          <w:lang w:val="nl-NL"/>
        </w:rPr>
        <w:footnoteReference w:id="10"/>
      </w:r>
      <w:r w:rsidRPr="00BA118E">
        <w:rPr>
          <w:szCs w:val="28"/>
          <w:shd w:val="clear" w:color="auto" w:fill="FFFFFF"/>
          <w:vertAlign w:val="superscript"/>
          <w:lang w:val="nl-NL"/>
        </w:rPr>
        <w:t>)</w:t>
      </w:r>
      <w:r w:rsidRPr="00BA118E">
        <w:rPr>
          <w:i/>
          <w:iCs/>
          <w:szCs w:val="28"/>
          <w:lang w:val="nl-NL"/>
        </w:rPr>
        <w:t>”</w:t>
      </w:r>
      <w:r w:rsidRPr="00BA118E">
        <w:rPr>
          <w:szCs w:val="28"/>
          <w:lang w:val="nl-NL"/>
        </w:rPr>
        <w:t xml:space="preserve">, đề nghị báo cáo làm rõ thêm về nội dung này. Ban Kinh tế - Ngân sách xét thấy, trong tình hình dịch bệnh Covid-19 và điều kiện thực tế của địa phương, đề nghị Hội đồng nhân dân tỉnh xem xét, quyết định không thu học phí đối với </w:t>
      </w:r>
      <w:r w:rsidRPr="00BA118E">
        <w:rPr>
          <w:b/>
          <w:bCs/>
          <w:i/>
          <w:iCs/>
          <w:szCs w:val="28"/>
          <w:lang w:val="nl-NL"/>
        </w:rPr>
        <w:t>trẻ em mầm non</w:t>
      </w:r>
      <w:r w:rsidRPr="00BA118E">
        <w:rPr>
          <w:szCs w:val="28"/>
          <w:lang w:val="nl-NL"/>
        </w:rPr>
        <w:t xml:space="preserve">. </w:t>
      </w:r>
    </w:p>
    <w:p w14:paraId="2AAAF0BA" w14:textId="0623DA1B" w:rsidR="000432DB" w:rsidRPr="00BA118E" w:rsidRDefault="001F4B5E" w:rsidP="00BA118E">
      <w:pPr>
        <w:pStyle w:val="ListParagraph"/>
        <w:spacing w:before="60" w:after="60" w:line="264" w:lineRule="auto"/>
        <w:ind w:left="0" w:firstLine="709"/>
        <w:contextualSpacing w:val="0"/>
        <w:jc w:val="both"/>
        <w:rPr>
          <w:b/>
          <w:bCs/>
          <w:szCs w:val="28"/>
          <w:lang w:val="nl-NL"/>
        </w:rPr>
      </w:pPr>
      <w:r w:rsidRPr="00BA118E">
        <w:rPr>
          <w:b/>
          <w:bCs/>
          <w:szCs w:val="28"/>
          <w:lang w:val="nl-NL"/>
        </w:rPr>
        <w:t>III.</w:t>
      </w:r>
      <w:r w:rsidR="00A5231C" w:rsidRPr="00BA118E">
        <w:rPr>
          <w:b/>
          <w:bCs/>
          <w:szCs w:val="28"/>
          <w:lang w:val="nl-NL"/>
        </w:rPr>
        <w:t xml:space="preserve"> </w:t>
      </w:r>
      <w:r w:rsidR="00A04ACD" w:rsidRPr="00BA118E">
        <w:rPr>
          <w:b/>
          <w:bCs/>
          <w:szCs w:val="28"/>
          <w:lang w:val="nl-NL"/>
        </w:rPr>
        <w:t xml:space="preserve">Ý kiến của Ban Kinh tế - Ngân sách </w:t>
      </w:r>
      <w:r w:rsidR="000432DB" w:rsidRPr="00BA118E">
        <w:rPr>
          <w:b/>
          <w:bCs/>
          <w:szCs w:val="28"/>
          <w:lang w:val="nl-NL"/>
        </w:rPr>
        <w:t>đối với các</w:t>
      </w:r>
      <w:r w:rsidR="00A04ACD" w:rsidRPr="00BA118E">
        <w:rPr>
          <w:b/>
          <w:bCs/>
          <w:szCs w:val="28"/>
          <w:lang w:val="nl-NL"/>
        </w:rPr>
        <w:t xml:space="preserve"> nội dung </w:t>
      </w:r>
      <w:r w:rsidR="000432DB" w:rsidRPr="00BA118E">
        <w:rPr>
          <w:b/>
          <w:bCs/>
          <w:szCs w:val="28"/>
          <w:lang w:val="nl-NL"/>
        </w:rPr>
        <w:t xml:space="preserve">Ủy ban nhân dân tỉnh </w:t>
      </w:r>
      <w:r w:rsidR="00A04ACD" w:rsidRPr="00BA118E">
        <w:rPr>
          <w:b/>
          <w:bCs/>
          <w:szCs w:val="28"/>
          <w:lang w:val="nl-NL"/>
        </w:rPr>
        <w:t>tiếp thu, giải trình</w:t>
      </w:r>
      <w:r w:rsidR="00B478E8" w:rsidRPr="00BA118E">
        <w:rPr>
          <w:b/>
          <w:bCs/>
          <w:szCs w:val="28"/>
          <w:lang w:val="nl-NL"/>
        </w:rPr>
        <w:t xml:space="preserve"> </w:t>
      </w:r>
      <w:r w:rsidR="0040437D" w:rsidRPr="00BA118E">
        <w:rPr>
          <w:b/>
          <w:bCs/>
          <w:szCs w:val="28"/>
          <w:lang w:val="nl-NL"/>
        </w:rPr>
        <w:t>các ý kiến</w:t>
      </w:r>
      <w:r w:rsidR="00B478E8" w:rsidRPr="00BA118E">
        <w:rPr>
          <w:b/>
          <w:bCs/>
          <w:szCs w:val="28"/>
          <w:lang w:val="nl-NL"/>
        </w:rPr>
        <w:t xml:space="preserve"> thẩm tra</w:t>
      </w:r>
      <w:r w:rsidR="005B7DAC" w:rsidRPr="00BA118E">
        <w:rPr>
          <w:b/>
          <w:bCs/>
          <w:szCs w:val="28"/>
          <w:lang w:val="nl-NL"/>
        </w:rPr>
        <w:t xml:space="preserve"> </w:t>
      </w:r>
    </w:p>
    <w:p w14:paraId="361DC6D0" w14:textId="021722A0" w:rsidR="001063EB" w:rsidRPr="00EA29C8" w:rsidRDefault="00BA118E" w:rsidP="001063EB">
      <w:pPr>
        <w:spacing w:before="120" w:after="120"/>
        <w:ind w:firstLine="709"/>
        <w:jc w:val="both"/>
        <w:rPr>
          <w:lang w:val="de-DE"/>
        </w:rPr>
      </w:pPr>
      <w:r w:rsidRPr="00BA118E">
        <w:rPr>
          <w:szCs w:val="28"/>
          <w:lang w:val="de-DE"/>
        </w:rPr>
        <w:t>Qua nghiên cứu Báo cáo</w:t>
      </w:r>
      <w:r w:rsidR="001063EB">
        <w:rPr>
          <w:szCs w:val="28"/>
          <w:lang w:val="vi-VN"/>
        </w:rPr>
        <w:t xml:space="preserve"> </w:t>
      </w:r>
      <w:r w:rsidRPr="00BA118E">
        <w:rPr>
          <w:szCs w:val="28"/>
          <w:lang w:val="de-DE"/>
        </w:rPr>
        <w:t xml:space="preserve">tiếp thu, giải trình của Ủy ban nhân dân tỉnh </w:t>
      </w:r>
      <w:r w:rsidRPr="00BA118E">
        <w:rPr>
          <w:i/>
          <w:szCs w:val="28"/>
          <w:lang w:val="de-DE"/>
        </w:rPr>
        <w:t>(Báo cáo số 315/BC-UBND ngày 17 tháng 10 năm 2021)</w:t>
      </w:r>
      <w:r w:rsidRPr="00BA118E">
        <w:rPr>
          <w:szCs w:val="28"/>
          <w:lang w:val="de-DE"/>
        </w:rPr>
        <w:t>,</w:t>
      </w:r>
      <w:r w:rsidR="001063EB" w:rsidRPr="001063EB">
        <w:rPr>
          <w:lang w:val="de-DE"/>
        </w:rPr>
        <w:t xml:space="preserve"> </w:t>
      </w:r>
      <w:r w:rsidR="001063EB" w:rsidRPr="00EA29C8">
        <w:rPr>
          <w:lang w:val="de-DE"/>
        </w:rPr>
        <w:t xml:space="preserve">Ban Kinh tế - Ngân sách nhận thấy Ủy ban nhân dân tỉnh đã tiếp thu, giải trình đầy đủ các kiến nghị qua thẩm tra các dự thảo Nghị quyết trình tại kỳ họp. </w:t>
      </w:r>
      <w:r w:rsidR="001063EB" w:rsidRPr="00EA29C8">
        <w:rPr>
          <w:lang w:val="vi-VN"/>
        </w:rPr>
        <w:t>Ban thống nhất</w:t>
      </w:r>
      <w:r w:rsidR="001063EB" w:rsidRPr="00EA29C8">
        <w:rPr>
          <w:lang w:val="de-DE"/>
        </w:rPr>
        <w:t xml:space="preserve"> với các nội dung tiếp thu, giải trình của Ủy ban nhân dân tỉnh.</w:t>
      </w:r>
    </w:p>
    <w:p w14:paraId="2AAAF0BC" w14:textId="7E41D605" w:rsidR="00A04ACD" w:rsidRPr="00BA118E" w:rsidRDefault="009439A0" w:rsidP="00BA118E">
      <w:pPr>
        <w:spacing w:before="60" w:after="60" w:line="264" w:lineRule="auto"/>
        <w:ind w:firstLine="709"/>
        <w:jc w:val="both"/>
        <w:rPr>
          <w:lang w:val="de-DE"/>
        </w:rPr>
      </w:pPr>
      <w:r w:rsidRPr="00BA118E">
        <w:rPr>
          <w:lang w:val="de-DE"/>
        </w:rPr>
        <w:t xml:space="preserve">Trên đây là báo cáo tổng hợp kết quả thẩm tra của Ban Kinh tế - Ngân sách. </w:t>
      </w:r>
      <w:r w:rsidR="00A860B8" w:rsidRPr="00BA118E">
        <w:rPr>
          <w:lang w:val="de-DE"/>
        </w:rPr>
        <w:t>Kí</w:t>
      </w:r>
      <w:r w:rsidRPr="00BA118E">
        <w:rPr>
          <w:lang w:val="de-DE"/>
        </w:rPr>
        <w:t xml:space="preserve">nh trình </w:t>
      </w:r>
      <w:r w:rsidR="00A04ACD" w:rsidRPr="00BA118E">
        <w:rPr>
          <w:lang w:val="de-DE"/>
        </w:rPr>
        <w:t>Hội đồng nhân dân tỉnh Khóa X</w:t>
      </w:r>
      <w:r w:rsidR="00012BAF" w:rsidRPr="00BA118E">
        <w:rPr>
          <w:lang w:val="de-DE"/>
        </w:rPr>
        <w:t>I</w:t>
      </w:r>
      <w:r w:rsidR="00A04ACD" w:rsidRPr="00BA118E">
        <w:rPr>
          <w:lang w:val="de-DE"/>
        </w:rPr>
        <w:t xml:space="preserve">I Kỳ họp </w:t>
      </w:r>
      <w:r w:rsidR="000E7D19" w:rsidRPr="00BA118E">
        <w:rPr>
          <w:lang w:val="de-DE"/>
        </w:rPr>
        <w:t>chuyên đề</w:t>
      </w:r>
      <w:r w:rsidR="00A04ACD" w:rsidRPr="00BA118E">
        <w:rPr>
          <w:lang w:val="de-DE"/>
        </w:rPr>
        <w:t xml:space="preserve"> xem xét, quyết định./.</w:t>
      </w:r>
    </w:p>
    <w:tbl>
      <w:tblPr>
        <w:tblW w:w="5000" w:type="pct"/>
        <w:tblLook w:val="01E0" w:firstRow="1" w:lastRow="1" w:firstColumn="1" w:lastColumn="1" w:noHBand="0" w:noVBand="0"/>
      </w:tblPr>
      <w:tblGrid>
        <w:gridCol w:w="4447"/>
        <w:gridCol w:w="5124"/>
      </w:tblGrid>
      <w:tr w:rsidR="00FA1A77" w:rsidRPr="00BA118E" w14:paraId="2AAAF0CA" w14:textId="77777777" w:rsidTr="008964FF">
        <w:tc>
          <w:tcPr>
            <w:tcW w:w="2323" w:type="pct"/>
          </w:tcPr>
          <w:p w14:paraId="2AAAF0BD" w14:textId="77777777" w:rsidR="00A04ACD" w:rsidRPr="00BA118E" w:rsidRDefault="00A04ACD" w:rsidP="008964FF">
            <w:pPr>
              <w:rPr>
                <w:b/>
                <w:i/>
                <w:sz w:val="24"/>
                <w:lang w:val="de-DE"/>
              </w:rPr>
            </w:pPr>
            <w:r w:rsidRPr="00BA118E">
              <w:rPr>
                <w:b/>
                <w:i/>
                <w:sz w:val="24"/>
                <w:lang w:val="de-DE"/>
              </w:rPr>
              <w:t>Nơi nhận:</w:t>
            </w:r>
          </w:p>
          <w:p w14:paraId="2AAAF0BE" w14:textId="70E9AB25" w:rsidR="00A04ACD" w:rsidRPr="00BA118E" w:rsidRDefault="00A04ACD" w:rsidP="008964FF">
            <w:pPr>
              <w:rPr>
                <w:sz w:val="22"/>
                <w:lang w:val="de-DE"/>
              </w:rPr>
            </w:pPr>
            <w:r w:rsidRPr="00BA118E">
              <w:rPr>
                <w:sz w:val="22"/>
                <w:lang w:val="de-DE"/>
              </w:rPr>
              <w:t>- Thường trực HĐND tỉnh</w:t>
            </w:r>
            <w:r w:rsidR="00FD313B" w:rsidRPr="00BA118E">
              <w:rPr>
                <w:sz w:val="22"/>
                <w:lang w:val="de-DE"/>
              </w:rPr>
              <w:t xml:space="preserve"> (b/c)</w:t>
            </w:r>
            <w:r w:rsidRPr="00BA118E">
              <w:rPr>
                <w:sz w:val="22"/>
                <w:lang w:val="de-DE"/>
              </w:rPr>
              <w:t>;</w:t>
            </w:r>
          </w:p>
          <w:p w14:paraId="2AAAF0BF" w14:textId="77777777" w:rsidR="00A04ACD" w:rsidRPr="00BA118E" w:rsidRDefault="00A04ACD" w:rsidP="008964FF">
            <w:pPr>
              <w:rPr>
                <w:sz w:val="22"/>
                <w:lang w:val="de-DE"/>
              </w:rPr>
            </w:pPr>
            <w:r w:rsidRPr="00BA118E">
              <w:rPr>
                <w:sz w:val="22"/>
                <w:lang w:val="de-DE"/>
              </w:rPr>
              <w:t xml:space="preserve">- UBND tỉnh; </w:t>
            </w:r>
            <w:r w:rsidRPr="00BA118E">
              <w:rPr>
                <w:sz w:val="22"/>
                <w:lang w:val="de-DE"/>
              </w:rPr>
              <w:tab/>
            </w:r>
          </w:p>
          <w:p w14:paraId="2AAAF0C1" w14:textId="77777777" w:rsidR="00A04ACD" w:rsidRPr="00FA55BF" w:rsidRDefault="00A04ACD" w:rsidP="00012BAF">
            <w:pPr>
              <w:rPr>
                <w:lang w:val="de-DE"/>
              </w:rPr>
            </w:pPr>
            <w:r w:rsidRPr="00FA55BF">
              <w:rPr>
                <w:sz w:val="22"/>
                <w:lang w:val="de-DE"/>
              </w:rPr>
              <w:t>- Lưu: VT, KT-NS</w:t>
            </w:r>
            <w:r w:rsidRPr="00FA55BF">
              <w:rPr>
                <w:sz w:val="14"/>
                <w:lang w:val="de-DE"/>
              </w:rPr>
              <w:t>.</w:t>
            </w:r>
          </w:p>
        </w:tc>
        <w:tc>
          <w:tcPr>
            <w:tcW w:w="2677" w:type="pct"/>
          </w:tcPr>
          <w:p w14:paraId="2AAAF0C2" w14:textId="77777777" w:rsidR="00A04ACD" w:rsidRPr="00BA118E" w:rsidRDefault="00A04ACD" w:rsidP="008964FF">
            <w:pPr>
              <w:jc w:val="center"/>
              <w:rPr>
                <w:b/>
              </w:rPr>
            </w:pPr>
            <w:r w:rsidRPr="00BA118E">
              <w:rPr>
                <w:b/>
              </w:rPr>
              <w:t>TM. BAN KINH TẾ - NGÂN SÁCH</w:t>
            </w:r>
          </w:p>
          <w:p w14:paraId="2AAAF0C3" w14:textId="77777777" w:rsidR="00A04ACD" w:rsidRPr="00BA118E" w:rsidRDefault="00A04ACD" w:rsidP="008964FF">
            <w:pPr>
              <w:jc w:val="center"/>
              <w:rPr>
                <w:b/>
              </w:rPr>
            </w:pPr>
            <w:r w:rsidRPr="00BA118E">
              <w:rPr>
                <w:b/>
              </w:rPr>
              <w:t>TRƯỞNG BAN</w:t>
            </w:r>
          </w:p>
          <w:p w14:paraId="2AAAF0C8" w14:textId="3C1F7D31" w:rsidR="00A04ACD" w:rsidRPr="00BA118E" w:rsidRDefault="00FA55BF" w:rsidP="008964FF">
            <w:pPr>
              <w:jc w:val="center"/>
              <w:rPr>
                <w:b/>
              </w:rPr>
            </w:pPr>
            <w:r>
              <w:rPr>
                <w:b/>
              </w:rPr>
              <w:t>Đã ký</w:t>
            </w:r>
            <w:bookmarkStart w:id="1" w:name="_GoBack"/>
            <w:bookmarkEnd w:id="1"/>
          </w:p>
          <w:p w14:paraId="2AAAF0C9" w14:textId="77777777" w:rsidR="00A04ACD" w:rsidRPr="00BA118E" w:rsidRDefault="00A04ACD" w:rsidP="008964FF">
            <w:pPr>
              <w:jc w:val="center"/>
              <w:rPr>
                <w:b/>
              </w:rPr>
            </w:pPr>
            <w:r w:rsidRPr="00BA118E">
              <w:rPr>
                <w:b/>
              </w:rPr>
              <w:t>Hồ Văn Đà</w:t>
            </w:r>
          </w:p>
        </w:tc>
      </w:tr>
    </w:tbl>
    <w:p w14:paraId="2AAAF0CB" w14:textId="77777777" w:rsidR="00A04ACD" w:rsidRPr="00BA118E" w:rsidRDefault="00A04ACD" w:rsidP="00A04ACD">
      <w:pPr>
        <w:spacing w:line="269" w:lineRule="auto"/>
        <w:ind w:firstLine="567"/>
        <w:jc w:val="both"/>
        <w:rPr>
          <w:lang w:val="de-DE"/>
        </w:rPr>
      </w:pPr>
    </w:p>
    <w:sectPr w:rsidR="00A04ACD" w:rsidRPr="00BA118E" w:rsidSect="00C94342">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28A6" w14:textId="77777777" w:rsidR="00867F30" w:rsidRDefault="00867F30" w:rsidP="00781997">
      <w:r>
        <w:separator/>
      </w:r>
    </w:p>
  </w:endnote>
  <w:endnote w:type="continuationSeparator" w:id="0">
    <w:p w14:paraId="080244AF" w14:textId="77777777" w:rsidR="00867F30" w:rsidRDefault="00867F30"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6F85" w14:textId="77777777" w:rsidR="00867F30" w:rsidRDefault="00867F30" w:rsidP="00781997">
      <w:r>
        <w:separator/>
      </w:r>
    </w:p>
  </w:footnote>
  <w:footnote w:type="continuationSeparator" w:id="0">
    <w:p w14:paraId="69225BD7" w14:textId="77777777" w:rsidR="00867F30" w:rsidRDefault="00867F30" w:rsidP="00781997">
      <w:r>
        <w:continuationSeparator/>
      </w:r>
    </w:p>
  </w:footnote>
  <w:footnote w:id="1">
    <w:p w14:paraId="47BCBC4D" w14:textId="30BD2182" w:rsidR="00E900F0" w:rsidRPr="00E900F0" w:rsidRDefault="00E900F0" w:rsidP="00E900F0">
      <w:pPr>
        <w:pStyle w:val="FootnoteText"/>
        <w:jc w:val="both"/>
        <w:rPr>
          <w:lang w:val="en-US"/>
        </w:rPr>
      </w:pPr>
      <w:r>
        <w:rPr>
          <w:rStyle w:val="FootnoteReference"/>
        </w:rPr>
        <w:footnoteRef/>
      </w:r>
      <w:r>
        <w:t xml:space="preserve"> </w:t>
      </w:r>
      <w:r w:rsidRPr="00E900F0">
        <w:t>Tổng số vốn đầu tư công trung hạn giai đoạn 2021-2025 nguồn ngân sách địa phương của tỉnh Kon Tum được Trung ương giao là 6.245.500 triệu đồng, trong đó: vốn đầu tư công nguồn ngân sách địa phương (không bao gồm số thu sử dụng đất, xổ số kiến thiết, bội chi ngân sách địa phương) là 2.853.604 triệu đồng.</w:t>
      </w:r>
    </w:p>
  </w:footnote>
  <w:footnote w:id="2">
    <w:p w14:paraId="6DD2B5F9" w14:textId="27C1D95A" w:rsidR="001118D8" w:rsidRPr="001118D8" w:rsidRDefault="001118D8" w:rsidP="001118D8">
      <w:pPr>
        <w:pStyle w:val="FootnoteText"/>
        <w:jc w:val="both"/>
        <w:rPr>
          <w:lang w:val="en-US"/>
        </w:rPr>
      </w:pPr>
      <w:r>
        <w:rPr>
          <w:rStyle w:val="FootnoteReference"/>
        </w:rPr>
        <w:footnoteRef/>
      </w:r>
      <w:r>
        <w:t xml:space="preserve"> </w:t>
      </w:r>
      <w:r w:rsidRPr="001118D8">
        <w:t>Dự kiến nguồn thu phí sử dụng các công trình kết cấu hạ tầng trong khu kinh tế cửa khẩu quốc tế Bờ Y 34.460 triệu đồng bố trí để thực hiện dự án Đường lên cột mốc biên giới Việt Nam - Lào - Campuchia (dự án chuyển tiếp</w:t>
      </w:r>
      <w:r>
        <w:rPr>
          <w:lang w:val="en-US"/>
        </w:rPr>
        <w:t>)</w:t>
      </w:r>
    </w:p>
  </w:footnote>
  <w:footnote w:id="3">
    <w:p w14:paraId="55AE51FC" w14:textId="77777777" w:rsidR="00824F3D" w:rsidRDefault="00824F3D" w:rsidP="00824F3D">
      <w:pPr>
        <w:pStyle w:val="FootnoteText"/>
        <w:jc w:val="both"/>
      </w:pPr>
      <w:r>
        <w:rPr>
          <w:rStyle w:val="FootnoteReference"/>
        </w:rPr>
        <w:footnoteRef/>
      </w:r>
      <w:r>
        <w:t xml:space="preserve"> Nghị quyết số 70/2020/NQ-HĐND ngày 09/12/2020 của Hội đồng nhân dân tỉnh về Kế hoạch tài chính 05 năm giai đoạn 2021-2025 tỉnh Kon Tum.</w:t>
      </w:r>
    </w:p>
  </w:footnote>
  <w:footnote w:id="4">
    <w:p w14:paraId="1B8C1B06" w14:textId="77777777" w:rsidR="00824F3D" w:rsidRDefault="00824F3D" w:rsidP="00824F3D">
      <w:pPr>
        <w:pStyle w:val="FootnoteText"/>
        <w:jc w:val="both"/>
      </w:pPr>
      <w:r>
        <w:rPr>
          <w:rStyle w:val="FootnoteReference"/>
        </w:rPr>
        <w:footnoteRef/>
      </w:r>
      <w:r>
        <w:t xml:space="preserve"> Nghị quyết số 63/2020/NQ-HĐND ngày 08/12/2020 của Hội đồng nhân dân tỉnh về Quy định </w:t>
      </w:r>
      <w:r w:rsidRPr="008D48F3">
        <w:t xml:space="preserve">nguyên tắc, tiêu chí và </w:t>
      </w:r>
      <w:r w:rsidRPr="008D48F3">
        <w:rPr>
          <w:rFonts w:hint="eastAsia"/>
        </w:rPr>
        <w:t>đ</w:t>
      </w:r>
      <w:r w:rsidRPr="008D48F3">
        <w:t xml:space="preserve">ịnh mức phân bổ vốn </w:t>
      </w:r>
      <w:r w:rsidRPr="008D48F3">
        <w:rPr>
          <w:rFonts w:hint="eastAsia"/>
        </w:rPr>
        <w:t>đ</w:t>
      </w:r>
      <w:r w:rsidRPr="008D48F3">
        <w:t>ầu t</w:t>
      </w:r>
      <w:r w:rsidRPr="008D48F3">
        <w:rPr>
          <w:rFonts w:hint="eastAsia"/>
        </w:rPr>
        <w:t>ư</w:t>
      </w:r>
      <w:r w:rsidRPr="008D48F3">
        <w:t xml:space="preserve"> công</w:t>
      </w:r>
      <w:r>
        <w:t xml:space="preserve"> nguồn ngân sách nhà nước giai đoạn 2021-2025 tỉnh Kon Tum.</w:t>
      </w:r>
    </w:p>
  </w:footnote>
  <w:footnote w:id="5">
    <w:p w14:paraId="68F56CED" w14:textId="77777777" w:rsidR="00824F3D" w:rsidRDefault="00824F3D" w:rsidP="00824F3D">
      <w:pPr>
        <w:pStyle w:val="FootnoteText"/>
        <w:jc w:val="both"/>
      </w:pPr>
      <w:r>
        <w:rPr>
          <w:rStyle w:val="FootnoteReference"/>
        </w:rPr>
        <w:footnoteRef/>
      </w:r>
      <w:r>
        <w:t xml:space="preserve"> </w:t>
      </w:r>
      <w:r w:rsidRPr="00B0376F">
        <w:rPr>
          <w:shd w:val="clear" w:color="auto" w:fill="FFFFFF"/>
        </w:rPr>
        <w:t>Nghị quyết số 69/20</w:t>
      </w:r>
      <w:r>
        <w:rPr>
          <w:shd w:val="clear" w:color="auto" w:fill="FFFFFF"/>
        </w:rPr>
        <w:t>20</w:t>
      </w:r>
      <w:r w:rsidRPr="00B0376F">
        <w:rPr>
          <w:shd w:val="clear" w:color="auto" w:fill="FFFFFF"/>
        </w:rPr>
        <w:t>/NQ-HĐND ngày 09 tháng 12 năm 20</w:t>
      </w:r>
      <w:r>
        <w:rPr>
          <w:shd w:val="clear" w:color="auto" w:fill="FFFFFF"/>
        </w:rPr>
        <w:t xml:space="preserve">20 của Hội đồng nhân dân tỉnh về </w:t>
      </w:r>
      <w:r w:rsidRPr="009130CF">
        <w:rPr>
          <w:shd w:val="clear" w:color="auto" w:fill="FFFFFF"/>
        </w:rPr>
        <w:t xml:space="preserve">Kế hoạch </w:t>
      </w:r>
      <w:r w:rsidRPr="009130CF">
        <w:rPr>
          <w:rFonts w:hint="eastAsia"/>
          <w:shd w:val="clear" w:color="auto" w:fill="FFFFFF"/>
        </w:rPr>
        <w:t>đ</w:t>
      </w:r>
      <w:r w:rsidRPr="009130CF">
        <w:rPr>
          <w:shd w:val="clear" w:color="auto" w:fill="FFFFFF"/>
        </w:rPr>
        <w:t>ầu t</w:t>
      </w:r>
      <w:r w:rsidRPr="009130CF">
        <w:rPr>
          <w:rFonts w:hint="eastAsia"/>
          <w:shd w:val="clear" w:color="auto" w:fill="FFFFFF"/>
        </w:rPr>
        <w:t>ư</w:t>
      </w:r>
      <w:r w:rsidRPr="009130CF">
        <w:rPr>
          <w:shd w:val="clear" w:color="auto" w:fill="FFFFFF"/>
        </w:rPr>
        <w:t xml:space="preserve"> công trung hạn giai </w:t>
      </w:r>
      <w:r w:rsidRPr="009130CF">
        <w:rPr>
          <w:rFonts w:hint="eastAsia"/>
          <w:shd w:val="clear" w:color="auto" w:fill="FFFFFF"/>
        </w:rPr>
        <w:t>đ</w:t>
      </w:r>
      <w:r w:rsidRPr="009130CF">
        <w:rPr>
          <w:shd w:val="clear" w:color="auto" w:fill="FFFFFF"/>
        </w:rPr>
        <w:t>oạn 2021-2025 tỉnh Kon Tum</w:t>
      </w:r>
      <w:r>
        <w:rPr>
          <w:shd w:val="clear" w:color="auto" w:fill="FFFFFF"/>
        </w:rPr>
        <w:t>.</w:t>
      </w:r>
    </w:p>
  </w:footnote>
  <w:footnote w:id="6">
    <w:p w14:paraId="52E7344B" w14:textId="77777777" w:rsidR="00E4278A" w:rsidRPr="00FA55BF" w:rsidRDefault="00E4278A" w:rsidP="00E4278A">
      <w:pPr>
        <w:pStyle w:val="FootnoteText"/>
        <w:jc w:val="both"/>
      </w:pPr>
      <w:r w:rsidRPr="009840CC">
        <w:rPr>
          <w:vertAlign w:val="superscript"/>
        </w:rPr>
        <w:t>(</w:t>
      </w:r>
      <w:r w:rsidRPr="009840CC">
        <w:rPr>
          <w:vertAlign w:val="superscript"/>
        </w:rPr>
        <w:footnoteRef/>
      </w:r>
      <w:r w:rsidRPr="009840CC">
        <w:rPr>
          <w:vertAlign w:val="superscript"/>
        </w:rPr>
        <w:t xml:space="preserve">) </w:t>
      </w:r>
      <w:r w:rsidRPr="009840CC">
        <w:t>Dự án</w:t>
      </w:r>
      <w:r w:rsidRPr="00FA55BF">
        <w:t xml:space="preserve"> (1) và (2) </w:t>
      </w:r>
      <w:r w:rsidRPr="009840CC">
        <w:t>đã được Ủy ban nhân dân tỉnh chấp thuận điều chỉnh, bổ sung vào quy hoạch sử dụng đất đến năm 2020 và kế hoạch sử dụng đất năm 2021 của huyện Kon Plông tại Văn bản số 1995/UBND-NNTN ngày 16 tháng 6 năm 2021</w:t>
      </w:r>
      <w:r w:rsidRPr="00FA55BF">
        <w:t xml:space="preserve">; </w:t>
      </w:r>
    </w:p>
    <w:p w14:paraId="0ACE09A0" w14:textId="77777777" w:rsidR="00E4278A" w:rsidRPr="009840CC" w:rsidRDefault="00E4278A" w:rsidP="00E4278A">
      <w:pPr>
        <w:pStyle w:val="FootnoteText"/>
        <w:jc w:val="both"/>
      </w:pPr>
      <w:r w:rsidRPr="00FA55BF">
        <w:t xml:space="preserve">Dự án (3) được UBND tỉnh Kon Tum phê duyệt tại Quyết định số 161/QĐ-UBND ngày 12 tháng 3 năm 2021 và nằm trong danh mục các dự án cần thu hồi đất và các dự án có nhu cầu chuyển mục đích sử dụng đất trồng lúa, đất rừng phòng hộ vào mục đích khác trên tỉnh Kon Tum năm 2021 (bổ sung) tại Nghị quyết số 56/NQ-HĐND ngày 29 tháng 4 năm 2021 của Hội đồng nhân dân tỉnh Kon Tum.  </w:t>
      </w:r>
      <w:r w:rsidRPr="009840CC">
        <w:t>.</w:t>
      </w:r>
    </w:p>
  </w:footnote>
  <w:footnote w:id="7">
    <w:p w14:paraId="06318680" w14:textId="77777777" w:rsidR="00E4278A" w:rsidRPr="009840CC" w:rsidRDefault="00E4278A" w:rsidP="00E4278A">
      <w:pPr>
        <w:pStyle w:val="FootnoteText"/>
        <w:jc w:val="both"/>
        <w:rPr>
          <w:lang w:val="pt-BR"/>
        </w:rPr>
      </w:pPr>
      <w:r w:rsidRPr="009840CC">
        <w:rPr>
          <w:vertAlign w:val="superscript"/>
        </w:rPr>
        <w:t>(</w:t>
      </w:r>
      <w:r w:rsidRPr="009840CC">
        <w:rPr>
          <w:vertAlign w:val="superscript"/>
        </w:rPr>
        <w:footnoteRef/>
      </w:r>
      <w:r w:rsidRPr="009840CC">
        <w:rPr>
          <w:vertAlign w:val="superscript"/>
        </w:rPr>
        <w:t xml:space="preserve">) </w:t>
      </w:r>
      <w:r w:rsidRPr="009840CC">
        <w:t>Dự án phù hợp với Quy hoạch Bảo vệ và Phát triển rừng tỉnh Kon Tum giai đoạn 2011 - 2020 tại Quyết định số 34/QĐ-UBND ngày 16 tháng 8 năm 2013 của Ủy ban nhân dân tỉnh.</w:t>
      </w:r>
    </w:p>
  </w:footnote>
  <w:footnote w:id="8">
    <w:p w14:paraId="5448BC75" w14:textId="77777777" w:rsidR="00E4278A" w:rsidRPr="00FA55BF" w:rsidRDefault="00E4278A" w:rsidP="00E4278A">
      <w:pPr>
        <w:pStyle w:val="FootnoteText"/>
        <w:jc w:val="both"/>
        <w:rPr>
          <w:lang w:val="pt-BR"/>
        </w:rPr>
      </w:pPr>
      <w:r w:rsidRPr="00FA55BF">
        <w:rPr>
          <w:vertAlign w:val="superscript"/>
          <w:lang w:val="pt-BR"/>
        </w:rPr>
        <w:t>(</w:t>
      </w:r>
      <w:r w:rsidRPr="00DA0A6F">
        <w:rPr>
          <w:rStyle w:val="FootnoteReference"/>
        </w:rPr>
        <w:footnoteRef/>
      </w:r>
      <w:r w:rsidRPr="00FA55BF">
        <w:rPr>
          <w:vertAlign w:val="superscript"/>
          <w:lang w:val="pt-BR"/>
        </w:rPr>
        <w:t>)</w:t>
      </w:r>
      <w:r w:rsidRPr="00DA0A6F">
        <w:t xml:space="preserve"> </w:t>
      </w:r>
      <w:r w:rsidRPr="00FA55BF">
        <w:rPr>
          <w:lang w:val="pt-BR"/>
        </w:rPr>
        <w:t>Báo cáo số 298/BC-UBND ngày 06/10/2021 về việc Thẩm định hồ sơ trình Hội đồng nhân dân tỉnh xem xét chủ trương chuyển mục đích sử dụng rừng sang mục đích khác để thực hiện Dự án Đường giao thông từ trung tâm huyện Sa Thầy đến Nhà máy thủy điện IaLy; Báo cáo số 299/BC-UBND ngày 06/10/2021 về việc Thẩm định hồ sơ trình Hội đồng nhân dân tỉnh xem xét chủ trương chuyển mục đích sử dụng rừng sang mục đích khác để thực hiện dự án Khu nhà ở liền kề có vườn tại thị trấn Măng Đen, huyện Kon Plông; Báo cáo số 300/BC-UBND ngày 07/10/2021 về</w:t>
      </w:r>
      <w:r w:rsidRPr="00DA0A6F">
        <w:t xml:space="preserve"> </w:t>
      </w:r>
      <w:r w:rsidRPr="00FA55BF">
        <w:rPr>
          <w:lang w:val="pt-BR"/>
        </w:rPr>
        <w:t>Thẩm định hồ sơ trình Hội đồng nhân dân tỉnh xem xét chủ trương chuyển mục đích sử dụng rừng sang mục đích khác để thực hiện công trình di dời đường dây trung, hạ áp nằm trong phạm vi giải phóng mặt bằng thuộc dự án thành phần 2 (đoạn qua tỉnh Kon Tum) dự án cải tạo,  nâng cấp các đoạn xung yếu trên Quốc lộ 24.</w:t>
      </w:r>
    </w:p>
  </w:footnote>
  <w:footnote w:id="9">
    <w:p w14:paraId="026F63D5" w14:textId="77777777" w:rsidR="00C94342" w:rsidRPr="009840CC" w:rsidRDefault="00C94342" w:rsidP="00C94342">
      <w:pPr>
        <w:pStyle w:val="FootnoteText"/>
        <w:jc w:val="both"/>
      </w:pPr>
      <w:r w:rsidRPr="00DA0A6F">
        <w:rPr>
          <w:vertAlign w:val="superscript"/>
        </w:rPr>
        <w:t>(</w:t>
      </w:r>
      <w:r w:rsidRPr="00DA0A6F">
        <w:rPr>
          <w:rStyle w:val="FootnoteReference"/>
        </w:rPr>
        <w:footnoteRef/>
      </w:r>
      <w:r w:rsidRPr="00DA0A6F">
        <w:rPr>
          <w:vertAlign w:val="superscript"/>
        </w:rPr>
        <w:t>)</w:t>
      </w:r>
      <w:r w:rsidRPr="00DA0A6F">
        <w:t xml:space="preserve"> Công văn số </w:t>
      </w:r>
      <w:r w:rsidRPr="00FA55BF">
        <w:rPr>
          <w:lang w:val="pt-BR"/>
        </w:rPr>
        <w:t>254</w:t>
      </w:r>
      <w:r w:rsidRPr="00DA0A6F">
        <w:t xml:space="preserve">-CV/TU ngày </w:t>
      </w:r>
      <w:r w:rsidRPr="00FA55BF">
        <w:rPr>
          <w:lang w:val="pt-BR"/>
        </w:rPr>
        <w:t>10</w:t>
      </w:r>
      <w:r w:rsidRPr="00DA0A6F">
        <w:t>/</w:t>
      </w:r>
      <w:r w:rsidRPr="00FA55BF">
        <w:rPr>
          <w:lang w:val="pt-BR"/>
        </w:rPr>
        <w:t>8</w:t>
      </w:r>
      <w:r w:rsidRPr="00DA0A6F">
        <w:t>/2021 của Ban Thường vụ Tỉnh ủy</w:t>
      </w:r>
      <w:r w:rsidRPr="00FA55BF">
        <w:rPr>
          <w:lang w:val="pt-BR"/>
        </w:rPr>
        <w:t xml:space="preserve"> </w:t>
      </w:r>
      <w:r w:rsidRPr="00DA0A6F">
        <w:t>về chủ</w:t>
      </w:r>
      <w:r w:rsidRPr="00FA55BF">
        <w:rPr>
          <w:lang w:val="pt-BR"/>
        </w:rPr>
        <w:t xml:space="preserve"> </w:t>
      </w:r>
      <w:r w:rsidRPr="00DA0A6F">
        <w:t>trương chuyển mục</w:t>
      </w:r>
      <w:r w:rsidRPr="00FA55BF">
        <w:rPr>
          <w:lang w:val="pt-BR"/>
        </w:rPr>
        <w:t xml:space="preserve"> </w:t>
      </w:r>
      <w:r w:rsidRPr="00DA0A6F">
        <w:t>đích sử dụng rừng sang mục đích khác để thực hiện dự án đầu tư trên địa bàn huyện KonPl</w:t>
      </w:r>
      <w:r w:rsidRPr="00FA55BF">
        <w:rPr>
          <w:lang w:val="pt-BR"/>
        </w:rPr>
        <w:t>ô</w:t>
      </w:r>
      <w:r w:rsidRPr="00DA0A6F">
        <w:t>ng.</w:t>
      </w:r>
    </w:p>
  </w:footnote>
  <w:footnote w:id="10">
    <w:p w14:paraId="4B3BCD12" w14:textId="77777777" w:rsidR="00F56DFC" w:rsidRDefault="00F56DFC" w:rsidP="00F56DFC">
      <w:pPr>
        <w:pStyle w:val="FootnoteText"/>
        <w:jc w:val="both"/>
      </w:pPr>
      <w:r w:rsidRPr="00E21B7E">
        <w:rPr>
          <w:vertAlign w:val="superscript"/>
        </w:rPr>
        <w:t>(</w:t>
      </w:r>
      <w:r>
        <w:rPr>
          <w:rStyle w:val="FootnoteReference"/>
          <w:rFonts w:eastAsia="Calibri"/>
        </w:rPr>
        <w:footnoteRef/>
      </w:r>
      <w:r>
        <w:rPr>
          <w:vertAlign w:val="superscript"/>
        </w:rPr>
        <w:t>)</w:t>
      </w:r>
      <w:r>
        <w:t xml:space="preserve"> Theo quy định của Luật Giáo dục năm 2019, </w:t>
      </w:r>
      <w:r w:rsidRPr="001A34C2">
        <w:t xml:space="preserve">Giáo dục mầm non gồm </w:t>
      </w:r>
      <w:r w:rsidRPr="00F5720A">
        <w:rPr>
          <w:b/>
          <w:bCs/>
        </w:rPr>
        <w:t>giáo dục nhà trẻ</w:t>
      </w:r>
      <w:r w:rsidRPr="001A34C2">
        <w:t xml:space="preserve"> và </w:t>
      </w:r>
      <w:r w:rsidRPr="00F5720A">
        <w:rPr>
          <w:b/>
          <w:bCs/>
        </w:rPr>
        <w:t>giáo dục mẫu giáo</w:t>
      </w:r>
      <w:r>
        <w:rPr>
          <w:b/>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F0D6" w14:textId="77777777" w:rsidR="00A5231C" w:rsidRDefault="00A5231C">
    <w:pPr>
      <w:pStyle w:val="Header"/>
      <w:jc w:val="center"/>
    </w:pPr>
    <w:r>
      <w:fldChar w:fldCharType="begin"/>
    </w:r>
    <w:r>
      <w:instrText xml:space="preserve"> PAGE   \* MERGEFORMAT </w:instrText>
    </w:r>
    <w:r>
      <w:fldChar w:fldCharType="separate"/>
    </w:r>
    <w:r w:rsidR="00FA55BF">
      <w:rPr>
        <w:noProof/>
      </w:rPr>
      <w:t>3</w:t>
    </w:r>
    <w:r>
      <w:rPr>
        <w:noProof/>
      </w:rPr>
      <w:fldChar w:fldCharType="end"/>
    </w:r>
  </w:p>
  <w:p w14:paraId="2AAAF0D7" w14:textId="77777777" w:rsidR="00A5231C" w:rsidRDefault="00A5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222EA"/>
    <w:multiLevelType w:val="hybridMultilevel"/>
    <w:tmpl w:val="A8C621D6"/>
    <w:lvl w:ilvl="0" w:tplc="7B2CA1F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12BAF"/>
    <w:rsid w:val="00030D1E"/>
    <w:rsid w:val="00041D09"/>
    <w:rsid w:val="000432DB"/>
    <w:rsid w:val="000459A4"/>
    <w:rsid w:val="00093957"/>
    <w:rsid w:val="0009476C"/>
    <w:rsid w:val="000D1810"/>
    <w:rsid w:val="000E7D19"/>
    <w:rsid w:val="000F0893"/>
    <w:rsid w:val="000F188A"/>
    <w:rsid w:val="00102E5D"/>
    <w:rsid w:val="001063EB"/>
    <w:rsid w:val="001118D8"/>
    <w:rsid w:val="00156F44"/>
    <w:rsid w:val="001725C6"/>
    <w:rsid w:val="001A368E"/>
    <w:rsid w:val="001B6190"/>
    <w:rsid w:val="001E28AA"/>
    <w:rsid w:val="001F4B5E"/>
    <w:rsid w:val="00204030"/>
    <w:rsid w:val="0021157D"/>
    <w:rsid w:val="00222D86"/>
    <w:rsid w:val="0023497C"/>
    <w:rsid w:val="00240444"/>
    <w:rsid w:val="00250875"/>
    <w:rsid w:val="00251FA6"/>
    <w:rsid w:val="0026551F"/>
    <w:rsid w:val="002669CC"/>
    <w:rsid w:val="00297F6D"/>
    <w:rsid w:val="002B2395"/>
    <w:rsid w:val="002F56C0"/>
    <w:rsid w:val="00300568"/>
    <w:rsid w:val="0035106B"/>
    <w:rsid w:val="00387774"/>
    <w:rsid w:val="003963A1"/>
    <w:rsid w:val="003B5FF0"/>
    <w:rsid w:val="003B763D"/>
    <w:rsid w:val="003D7890"/>
    <w:rsid w:val="004005D9"/>
    <w:rsid w:val="0040437D"/>
    <w:rsid w:val="00405358"/>
    <w:rsid w:val="00407018"/>
    <w:rsid w:val="00414F3A"/>
    <w:rsid w:val="00436030"/>
    <w:rsid w:val="00447F77"/>
    <w:rsid w:val="0045354D"/>
    <w:rsid w:val="00460318"/>
    <w:rsid w:val="00500770"/>
    <w:rsid w:val="00507402"/>
    <w:rsid w:val="005204AC"/>
    <w:rsid w:val="00541E7D"/>
    <w:rsid w:val="00547A04"/>
    <w:rsid w:val="00585FCB"/>
    <w:rsid w:val="005A68E2"/>
    <w:rsid w:val="005A751A"/>
    <w:rsid w:val="005A7E34"/>
    <w:rsid w:val="005B7DAC"/>
    <w:rsid w:val="005C3E35"/>
    <w:rsid w:val="005C4C5F"/>
    <w:rsid w:val="005D03D1"/>
    <w:rsid w:val="005E312F"/>
    <w:rsid w:val="005F171D"/>
    <w:rsid w:val="005F7BE7"/>
    <w:rsid w:val="00600E04"/>
    <w:rsid w:val="00620B6B"/>
    <w:rsid w:val="0062567D"/>
    <w:rsid w:val="006273F7"/>
    <w:rsid w:val="006317DF"/>
    <w:rsid w:val="00643472"/>
    <w:rsid w:val="00654341"/>
    <w:rsid w:val="00665B2A"/>
    <w:rsid w:val="00665D9A"/>
    <w:rsid w:val="006743B4"/>
    <w:rsid w:val="00674E69"/>
    <w:rsid w:val="006A1C78"/>
    <w:rsid w:val="006B3BAB"/>
    <w:rsid w:val="006B3CA4"/>
    <w:rsid w:val="006B522A"/>
    <w:rsid w:val="006C32A0"/>
    <w:rsid w:val="006D2E52"/>
    <w:rsid w:val="007376E3"/>
    <w:rsid w:val="00776777"/>
    <w:rsid w:val="00781997"/>
    <w:rsid w:val="007850DD"/>
    <w:rsid w:val="007B7FC3"/>
    <w:rsid w:val="007C33E9"/>
    <w:rsid w:val="007D7240"/>
    <w:rsid w:val="007F3B6F"/>
    <w:rsid w:val="007F7F21"/>
    <w:rsid w:val="00810EE5"/>
    <w:rsid w:val="00824F3D"/>
    <w:rsid w:val="00825EE8"/>
    <w:rsid w:val="00855EDC"/>
    <w:rsid w:val="00861C3A"/>
    <w:rsid w:val="0086425A"/>
    <w:rsid w:val="0086459C"/>
    <w:rsid w:val="00867F30"/>
    <w:rsid w:val="00872573"/>
    <w:rsid w:val="00872D49"/>
    <w:rsid w:val="00873EC1"/>
    <w:rsid w:val="008D5A0B"/>
    <w:rsid w:val="008E0D22"/>
    <w:rsid w:val="008E15BC"/>
    <w:rsid w:val="0090187D"/>
    <w:rsid w:val="00926C29"/>
    <w:rsid w:val="009439A0"/>
    <w:rsid w:val="00945EB9"/>
    <w:rsid w:val="009852F2"/>
    <w:rsid w:val="00987FA8"/>
    <w:rsid w:val="009C2D44"/>
    <w:rsid w:val="009E28A8"/>
    <w:rsid w:val="009E472E"/>
    <w:rsid w:val="009F15FA"/>
    <w:rsid w:val="009F4AC2"/>
    <w:rsid w:val="00A0282B"/>
    <w:rsid w:val="00A048CD"/>
    <w:rsid w:val="00A04ACD"/>
    <w:rsid w:val="00A0598A"/>
    <w:rsid w:val="00A24CAD"/>
    <w:rsid w:val="00A36638"/>
    <w:rsid w:val="00A4244E"/>
    <w:rsid w:val="00A5231C"/>
    <w:rsid w:val="00A52CF3"/>
    <w:rsid w:val="00A574AB"/>
    <w:rsid w:val="00A57BAE"/>
    <w:rsid w:val="00A605C3"/>
    <w:rsid w:val="00A64E4E"/>
    <w:rsid w:val="00A8308A"/>
    <w:rsid w:val="00A860B8"/>
    <w:rsid w:val="00A86BC6"/>
    <w:rsid w:val="00AA2DBB"/>
    <w:rsid w:val="00AD1D87"/>
    <w:rsid w:val="00AE484C"/>
    <w:rsid w:val="00B0073A"/>
    <w:rsid w:val="00B102FE"/>
    <w:rsid w:val="00B1195A"/>
    <w:rsid w:val="00B12764"/>
    <w:rsid w:val="00B21CA3"/>
    <w:rsid w:val="00B30F61"/>
    <w:rsid w:val="00B43F5C"/>
    <w:rsid w:val="00B478E8"/>
    <w:rsid w:val="00B6568A"/>
    <w:rsid w:val="00BA0ECA"/>
    <w:rsid w:val="00BA118E"/>
    <w:rsid w:val="00BA7E1E"/>
    <w:rsid w:val="00BB2A9C"/>
    <w:rsid w:val="00BB7F51"/>
    <w:rsid w:val="00BD55AD"/>
    <w:rsid w:val="00BF487C"/>
    <w:rsid w:val="00C13797"/>
    <w:rsid w:val="00C46906"/>
    <w:rsid w:val="00C47E42"/>
    <w:rsid w:val="00C67145"/>
    <w:rsid w:val="00C7372C"/>
    <w:rsid w:val="00C7418C"/>
    <w:rsid w:val="00C81371"/>
    <w:rsid w:val="00C92E21"/>
    <w:rsid w:val="00C94342"/>
    <w:rsid w:val="00CB0BEA"/>
    <w:rsid w:val="00CC530F"/>
    <w:rsid w:val="00CC572D"/>
    <w:rsid w:val="00CC66B5"/>
    <w:rsid w:val="00CD2200"/>
    <w:rsid w:val="00CD54F7"/>
    <w:rsid w:val="00CD6C79"/>
    <w:rsid w:val="00CE153C"/>
    <w:rsid w:val="00CF492E"/>
    <w:rsid w:val="00D174A4"/>
    <w:rsid w:val="00D3449B"/>
    <w:rsid w:val="00D3554D"/>
    <w:rsid w:val="00D6025F"/>
    <w:rsid w:val="00D7794B"/>
    <w:rsid w:val="00D80A6F"/>
    <w:rsid w:val="00DB38B7"/>
    <w:rsid w:val="00DD4CD4"/>
    <w:rsid w:val="00DE4C2E"/>
    <w:rsid w:val="00E03755"/>
    <w:rsid w:val="00E073D7"/>
    <w:rsid w:val="00E24317"/>
    <w:rsid w:val="00E25FE4"/>
    <w:rsid w:val="00E32B36"/>
    <w:rsid w:val="00E4278A"/>
    <w:rsid w:val="00E5174F"/>
    <w:rsid w:val="00E56C9E"/>
    <w:rsid w:val="00E57C18"/>
    <w:rsid w:val="00E62923"/>
    <w:rsid w:val="00E8053A"/>
    <w:rsid w:val="00E900F0"/>
    <w:rsid w:val="00E91D45"/>
    <w:rsid w:val="00EA7B9B"/>
    <w:rsid w:val="00F24260"/>
    <w:rsid w:val="00F24C16"/>
    <w:rsid w:val="00F33536"/>
    <w:rsid w:val="00F36224"/>
    <w:rsid w:val="00F4304E"/>
    <w:rsid w:val="00F56DFC"/>
    <w:rsid w:val="00F67573"/>
    <w:rsid w:val="00F77A6E"/>
    <w:rsid w:val="00FA1A77"/>
    <w:rsid w:val="00FA55BF"/>
    <w:rsid w:val="00FB76A3"/>
    <w:rsid w:val="00FD313B"/>
    <w:rsid w:val="00FD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basedOn w:val="DefaultParagraphFont"/>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basedOn w:val="DefaultParagraphFont"/>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2021-10-13T09:32:00Z</cp:lastPrinted>
  <dcterms:created xsi:type="dcterms:W3CDTF">2021-10-17T09:09:00Z</dcterms:created>
  <dcterms:modified xsi:type="dcterms:W3CDTF">2021-10-18T01:48:00Z</dcterms:modified>
</cp:coreProperties>
</file>