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3A0769" w:rsidRPr="00DC31A4" w:rsidTr="008752D6">
        <w:trPr>
          <w:trHeight w:hRule="exact" w:val="907"/>
        </w:trPr>
        <w:tc>
          <w:tcPr>
            <w:tcW w:w="1978" w:type="pct"/>
            <w:shd w:val="clear" w:color="auto" w:fill="auto"/>
          </w:tcPr>
          <w:p w:rsidR="003A0769" w:rsidRPr="00DC31A4" w:rsidRDefault="003A0769" w:rsidP="008752D6">
            <w:pPr>
              <w:jc w:val="center"/>
              <w:rPr>
                <w:sz w:val="26"/>
                <w:szCs w:val="28"/>
              </w:rPr>
            </w:pPr>
            <w:r w:rsidRPr="00DC31A4">
              <w:rPr>
                <w:sz w:val="26"/>
                <w:szCs w:val="28"/>
              </w:rPr>
              <w:t>HĐND TỈNH KON TUM</w:t>
            </w:r>
          </w:p>
          <w:p w:rsidR="003A0769" w:rsidRPr="00DC31A4" w:rsidRDefault="001A2690" w:rsidP="008752D6">
            <w:pPr>
              <w:jc w:val="center"/>
              <w:rPr>
                <w:b/>
                <w:sz w:val="26"/>
                <w:szCs w:val="28"/>
              </w:rPr>
            </w:pPr>
            <w:r>
              <w:rPr>
                <w:noProof/>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3A0769" w:rsidRPr="00DC31A4">
              <w:rPr>
                <w:b/>
                <w:sz w:val="26"/>
                <w:szCs w:val="28"/>
              </w:rPr>
              <w:t>BAN KINH TẾ - NGÂN SÁCH</w:t>
            </w:r>
          </w:p>
        </w:tc>
        <w:tc>
          <w:tcPr>
            <w:tcW w:w="3022" w:type="pct"/>
            <w:shd w:val="clear" w:color="auto" w:fill="auto"/>
          </w:tcPr>
          <w:p w:rsidR="003A0769" w:rsidRPr="00DC31A4" w:rsidRDefault="003A0769" w:rsidP="008752D6">
            <w:pPr>
              <w:jc w:val="center"/>
              <w:rPr>
                <w:b/>
                <w:sz w:val="26"/>
                <w:szCs w:val="28"/>
              </w:rPr>
            </w:pPr>
            <w:r w:rsidRPr="00DC31A4">
              <w:rPr>
                <w:b/>
                <w:sz w:val="26"/>
                <w:szCs w:val="28"/>
              </w:rPr>
              <w:t>CỘNG HÒA XÃ HỘI CHỦ NGHĨA VIỆT NAM</w:t>
            </w:r>
          </w:p>
          <w:p w:rsidR="003A0769" w:rsidRPr="00DC31A4" w:rsidRDefault="001A2690" w:rsidP="008752D6">
            <w:pPr>
              <w:jc w:val="center"/>
              <w:rPr>
                <w:b/>
                <w:sz w:val="26"/>
                <w:szCs w:val="28"/>
              </w:rPr>
            </w:pPr>
            <w:r>
              <w:rPr>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3A0769" w:rsidRPr="00DC31A4">
              <w:rPr>
                <w:b/>
                <w:szCs w:val="28"/>
              </w:rPr>
              <w:t>Độc lập - Tự do - Hạnh phúc</w:t>
            </w:r>
          </w:p>
        </w:tc>
      </w:tr>
      <w:tr w:rsidR="003A0769" w:rsidRPr="00DC31A4" w:rsidTr="008752D6">
        <w:trPr>
          <w:trHeight w:hRule="exact" w:val="518"/>
        </w:trPr>
        <w:tc>
          <w:tcPr>
            <w:tcW w:w="1978" w:type="pct"/>
            <w:shd w:val="clear" w:color="auto" w:fill="auto"/>
          </w:tcPr>
          <w:p w:rsidR="003A0769" w:rsidRPr="00DC31A4" w:rsidRDefault="003A0769" w:rsidP="008752D6">
            <w:pPr>
              <w:jc w:val="center"/>
              <w:rPr>
                <w:sz w:val="26"/>
                <w:szCs w:val="28"/>
              </w:rPr>
            </w:pPr>
            <w:r w:rsidRPr="00DC31A4">
              <w:rPr>
                <w:sz w:val="26"/>
                <w:szCs w:val="28"/>
              </w:rPr>
              <w:t xml:space="preserve">Số:  </w:t>
            </w:r>
            <w:r w:rsidR="001876BF">
              <w:rPr>
                <w:sz w:val="26"/>
                <w:szCs w:val="28"/>
              </w:rPr>
              <w:t>71</w:t>
            </w:r>
            <w:r w:rsidRPr="00DC31A4">
              <w:rPr>
                <w:sz w:val="26"/>
                <w:szCs w:val="28"/>
              </w:rPr>
              <w:t xml:space="preserve">  /B</w:t>
            </w:r>
            <w:r>
              <w:rPr>
                <w:sz w:val="26"/>
                <w:szCs w:val="28"/>
              </w:rPr>
              <w:t>C</w:t>
            </w:r>
            <w:r w:rsidRPr="00DC31A4">
              <w:rPr>
                <w:sz w:val="26"/>
                <w:szCs w:val="28"/>
              </w:rPr>
              <w:t>-</w:t>
            </w:r>
            <w:r>
              <w:rPr>
                <w:sz w:val="26"/>
                <w:szCs w:val="28"/>
              </w:rPr>
              <w:t>BKTNS</w:t>
            </w:r>
          </w:p>
          <w:p w:rsidR="003A0769" w:rsidRPr="00DC31A4" w:rsidRDefault="003A0769" w:rsidP="008752D6">
            <w:pPr>
              <w:ind w:firstLine="709"/>
              <w:jc w:val="both"/>
              <w:rPr>
                <w:szCs w:val="28"/>
              </w:rPr>
            </w:pPr>
          </w:p>
          <w:p w:rsidR="003A0769" w:rsidRPr="00DC31A4" w:rsidRDefault="003A0769" w:rsidP="008752D6">
            <w:pPr>
              <w:ind w:firstLine="709"/>
              <w:jc w:val="both"/>
              <w:rPr>
                <w:szCs w:val="28"/>
              </w:rPr>
            </w:pPr>
          </w:p>
          <w:p w:rsidR="003A0769" w:rsidRPr="00DC31A4" w:rsidRDefault="003A0769" w:rsidP="008752D6">
            <w:pPr>
              <w:ind w:firstLine="709"/>
              <w:jc w:val="both"/>
              <w:rPr>
                <w:szCs w:val="28"/>
              </w:rPr>
            </w:pPr>
          </w:p>
        </w:tc>
        <w:tc>
          <w:tcPr>
            <w:tcW w:w="3022" w:type="pct"/>
            <w:shd w:val="clear" w:color="auto" w:fill="auto"/>
          </w:tcPr>
          <w:p w:rsidR="003A0769" w:rsidRPr="00DC31A4" w:rsidRDefault="003A0769" w:rsidP="001876BF">
            <w:pPr>
              <w:ind w:firstLine="709"/>
              <w:jc w:val="both"/>
              <w:rPr>
                <w:i/>
                <w:szCs w:val="28"/>
              </w:rPr>
            </w:pPr>
            <w:r w:rsidRPr="00DC31A4">
              <w:rPr>
                <w:i/>
                <w:szCs w:val="28"/>
              </w:rPr>
              <w:t xml:space="preserve">Kon Tum, ngày  </w:t>
            </w:r>
            <w:r w:rsidR="001876BF">
              <w:rPr>
                <w:i/>
                <w:szCs w:val="28"/>
              </w:rPr>
              <w:t>02</w:t>
            </w:r>
            <w:r w:rsidRPr="00DC31A4">
              <w:rPr>
                <w:i/>
                <w:szCs w:val="28"/>
              </w:rPr>
              <w:t xml:space="preserve">   tháng  </w:t>
            </w:r>
            <w:r w:rsidR="001876BF">
              <w:rPr>
                <w:i/>
                <w:szCs w:val="28"/>
              </w:rPr>
              <w:t>7</w:t>
            </w:r>
            <w:r w:rsidRPr="00DC31A4">
              <w:rPr>
                <w:i/>
                <w:szCs w:val="28"/>
              </w:rPr>
              <w:t xml:space="preserve"> năm </w:t>
            </w:r>
            <w:r w:rsidR="001876BF">
              <w:rPr>
                <w:i/>
                <w:szCs w:val="28"/>
              </w:rPr>
              <w:t>2020</w:t>
            </w:r>
            <w:r w:rsidRPr="00DC31A4">
              <w:rPr>
                <w:i/>
                <w:szCs w:val="28"/>
              </w:rPr>
              <w:t xml:space="preserve">   </w:t>
            </w:r>
          </w:p>
        </w:tc>
      </w:tr>
    </w:tbl>
    <w:p w:rsidR="003A0769" w:rsidRDefault="003A0769" w:rsidP="003A0769">
      <w:r>
        <w:t xml:space="preserve"> </w:t>
      </w:r>
    </w:p>
    <w:p w:rsidR="003A0769" w:rsidRPr="00767681" w:rsidRDefault="003A0769" w:rsidP="003A0769">
      <w:pPr>
        <w:tabs>
          <w:tab w:val="center" w:pos="1800"/>
          <w:tab w:val="center" w:pos="6120"/>
        </w:tabs>
        <w:jc w:val="center"/>
        <w:rPr>
          <w:b/>
        </w:rPr>
      </w:pPr>
      <w:r w:rsidRPr="00767681">
        <w:rPr>
          <w:b/>
        </w:rPr>
        <w:t>BÁO CÁO THẨM TRA</w:t>
      </w:r>
    </w:p>
    <w:p w:rsidR="003A0769" w:rsidRDefault="003A0769" w:rsidP="003A0769">
      <w:pPr>
        <w:widowControl w:val="0"/>
        <w:spacing w:line="264" w:lineRule="auto"/>
        <w:jc w:val="center"/>
        <w:rPr>
          <w:b/>
          <w:szCs w:val="28"/>
          <w:lang w:val="nl-NL"/>
        </w:rPr>
      </w:pPr>
      <w:r w:rsidRPr="000531B6">
        <w:rPr>
          <w:b/>
        </w:rPr>
        <w:t xml:space="preserve">Dự thảo </w:t>
      </w:r>
      <w:r>
        <w:rPr>
          <w:b/>
          <w:lang w:val="vi-VN"/>
        </w:rPr>
        <w:t xml:space="preserve">Nghị quyết </w:t>
      </w:r>
      <w:r>
        <w:rPr>
          <w:b/>
          <w:szCs w:val="28"/>
          <w:lang w:val="vi-VN"/>
        </w:rPr>
        <w:t>s</w:t>
      </w:r>
      <w:r w:rsidRPr="002F1CD1">
        <w:rPr>
          <w:b/>
          <w:szCs w:val="28"/>
          <w:lang w:val="nl-NL"/>
        </w:rPr>
        <w:t>ửa đổi, bổ sung,</w:t>
      </w:r>
      <w:r w:rsidRPr="0059246D">
        <w:rPr>
          <w:b/>
          <w:szCs w:val="28"/>
        </w:rPr>
        <w:t xml:space="preserve"> bãi bỏ</w:t>
      </w:r>
      <w:r w:rsidRPr="002F1CD1">
        <w:rPr>
          <w:b/>
          <w:szCs w:val="28"/>
          <w:lang w:val="nl-NL"/>
        </w:rPr>
        <w:t xml:space="preserve"> Nghị quyết,</w:t>
      </w:r>
      <w:r w:rsidRPr="0059246D">
        <w:rPr>
          <w:b/>
          <w:szCs w:val="28"/>
        </w:rPr>
        <w:t xml:space="preserve"> nội dung</w:t>
      </w:r>
      <w:r w:rsidRPr="002F1CD1">
        <w:rPr>
          <w:b/>
          <w:szCs w:val="28"/>
          <w:lang w:val="nl-NL"/>
        </w:rPr>
        <w:t xml:space="preserve"> trong </w:t>
      </w:r>
    </w:p>
    <w:p w:rsidR="003A0769" w:rsidRPr="001876BF" w:rsidRDefault="003A0769" w:rsidP="003A0769">
      <w:pPr>
        <w:widowControl w:val="0"/>
        <w:spacing w:line="264" w:lineRule="auto"/>
        <w:jc w:val="center"/>
        <w:rPr>
          <w:b/>
          <w:color w:val="000000"/>
          <w:szCs w:val="28"/>
          <w:lang w:val="nl-NL"/>
        </w:rPr>
      </w:pPr>
      <w:r w:rsidRPr="002F1CD1">
        <w:rPr>
          <w:b/>
          <w:szCs w:val="28"/>
          <w:lang w:val="nl-NL"/>
        </w:rPr>
        <w:t>các</w:t>
      </w:r>
      <w:r w:rsidRPr="001876BF">
        <w:rPr>
          <w:b/>
          <w:szCs w:val="28"/>
          <w:lang w:val="nl-NL"/>
        </w:rPr>
        <w:t xml:space="preserve"> Nghị quyết do Hội đồng nhân dân tỉnh Kon Tum ban hành</w:t>
      </w:r>
    </w:p>
    <w:p w:rsidR="003A0769" w:rsidRPr="001876BF" w:rsidRDefault="001A2690" w:rsidP="003A0769">
      <w:pPr>
        <w:jc w:val="center"/>
        <w:rPr>
          <w:b/>
          <w:u w:val="single"/>
          <w:vertAlign w:val="subscript"/>
          <w:lang w:val="nl-NL"/>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3A0769" w:rsidRPr="001876BF" w:rsidRDefault="003A0769" w:rsidP="009266E1">
      <w:pPr>
        <w:widowControl w:val="0"/>
        <w:spacing w:before="120" w:after="120" w:line="264" w:lineRule="auto"/>
        <w:ind w:firstLine="720"/>
        <w:jc w:val="both"/>
        <w:rPr>
          <w:lang w:val="nl-NL"/>
        </w:rPr>
      </w:pPr>
      <w:r w:rsidRPr="001876BF">
        <w:rPr>
          <w:lang w:val="nl-NL"/>
        </w:rPr>
        <w:t xml:space="preserve">Căn cứ Luật Tổ chức Chính quyền địa phương năm 2015; </w:t>
      </w:r>
      <w:r w:rsidRPr="00947687">
        <w:rPr>
          <w:rFonts w:eastAsia="Times New Roman"/>
          <w:szCs w:val="28"/>
          <w:lang w:val="nl-NL" w:eastAsia="x-none"/>
        </w:rPr>
        <w:t>Luật sửa đổi, bổ sung một số điều của Luật Tổ chức Chính phủ và Luật Tổ chức chính quyền địa phương năm 2019;</w:t>
      </w:r>
      <w:r w:rsidRPr="00947687">
        <w:rPr>
          <w:rFonts w:eastAsia="Times New Roman"/>
          <w:i/>
          <w:szCs w:val="28"/>
          <w:lang w:val="nl-NL" w:eastAsia="x-none"/>
        </w:rPr>
        <w:t xml:space="preserve"> </w:t>
      </w:r>
      <w:r w:rsidRPr="001876BF">
        <w:rPr>
          <w:lang w:val="nl-NL"/>
        </w:rPr>
        <w:t>Luật Hoạt động giám sát của Quốc hội và Hội đồng nhân dân năm 2015; Luật Ban hành văn bản quy phạm pháp luật năm 2015;</w:t>
      </w:r>
    </w:p>
    <w:p w:rsidR="003A0769" w:rsidRPr="001876BF" w:rsidRDefault="003A0769" w:rsidP="009266E1">
      <w:pPr>
        <w:spacing w:before="120" w:after="120" w:line="264" w:lineRule="auto"/>
        <w:ind w:firstLine="720"/>
        <w:jc w:val="both"/>
        <w:rPr>
          <w:u w:val="single"/>
          <w:vertAlign w:val="subscript"/>
          <w:lang w:val="nl-NL"/>
        </w:rPr>
      </w:pPr>
      <w:r w:rsidRPr="001876BF">
        <w:rPr>
          <w:lang w:val="nl-NL"/>
        </w:rPr>
        <w:t xml:space="preserve">Thực hiện sự phân công của Thường trực Hội đồng nhân dân; trên cơ sở Tờ trình số </w:t>
      </w:r>
      <w:r>
        <w:rPr>
          <w:lang w:val="vi-VN"/>
        </w:rPr>
        <w:t>75</w:t>
      </w:r>
      <w:r w:rsidRPr="001876BF">
        <w:rPr>
          <w:lang w:val="nl-NL"/>
        </w:rPr>
        <w:t xml:space="preserve">/TTr-UBND ngày </w:t>
      </w:r>
      <w:r>
        <w:rPr>
          <w:lang w:val="vi-VN"/>
        </w:rPr>
        <w:t>29</w:t>
      </w:r>
      <w:r w:rsidRPr="001876BF">
        <w:rPr>
          <w:lang w:val="nl-NL"/>
        </w:rPr>
        <w:t>/</w:t>
      </w:r>
      <w:r>
        <w:rPr>
          <w:lang w:val="vi-VN"/>
        </w:rPr>
        <w:t>6</w:t>
      </w:r>
      <w:r w:rsidRPr="001876BF">
        <w:rPr>
          <w:lang w:val="nl-NL"/>
        </w:rPr>
        <w:t xml:space="preserve">/2020 của Ủy ban nhân dân tỉnh về việc dự thảo Nghị quyết sửa đổi, bổ sung, bãi bỏ Nghị quyết, nội dung trong các Nghị quyết do Hội đồng nhân dân tỉnh ban hành; dự thảo Nghị quyết và hồ sơ trình thẩm tra kèm theo; Ban Kinh tế - Ngân sách đã tổ chức phiên họp toàn thể thẩm tra nội dung trên. Tham dự cuộc họp có lãnh </w:t>
      </w:r>
      <w:r w:rsidRPr="002A4BBE">
        <w:rPr>
          <w:lang w:val="nl-NL"/>
        </w:rPr>
        <w:t>đạo</w:t>
      </w:r>
      <w:r w:rsidRPr="001876BF">
        <w:rPr>
          <w:lang w:val="nl-NL"/>
        </w:rPr>
        <w:t xml:space="preserve"> các Ban của Hội đồng nhân dân tỉnh; </w:t>
      </w:r>
      <w:r w:rsidRPr="001876BF">
        <w:rPr>
          <w:bCs/>
          <w:lang w:val="nl-NL"/>
        </w:rPr>
        <w:t xml:space="preserve">đại diện Ủy ban nhân dân tỉnh và các sở, ngành liên quan. </w:t>
      </w:r>
      <w:r w:rsidRPr="001876BF">
        <w:rPr>
          <w:lang w:val="nl-NL"/>
        </w:rPr>
        <w:t>Ban Kinh tế - Ngân sách báo cáo kết quả thẩm tra như sau:</w:t>
      </w:r>
    </w:p>
    <w:p w:rsidR="003A0769" w:rsidRPr="001876BF" w:rsidRDefault="003A0769" w:rsidP="009266E1">
      <w:pPr>
        <w:spacing w:before="120" w:after="120" w:line="264" w:lineRule="auto"/>
        <w:ind w:firstLine="720"/>
        <w:jc w:val="both"/>
        <w:rPr>
          <w:lang w:val="nl-NL"/>
        </w:rPr>
      </w:pPr>
      <w:r w:rsidRPr="001876BF">
        <w:rPr>
          <w:b/>
          <w:lang w:val="nl-NL"/>
        </w:rPr>
        <w:t>I. Nội dung dự thảo nghị quyết và những vấn đề còn có ý kiến khác nhau</w:t>
      </w:r>
    </w:p>
    <w:p w:rsidR="003A0769" w:rsidRPr="001876BF" w:rsidRDefault="003A0769" w:rsidP="009266E1">
      <w:pPr>
        <w:spacing w:before="120" w:after="120" w:line="264" w:lineRule="auto"/>
        <w:ind w:firstLine="720"/>
        <w:jc w:val="both"/>
        <w:rPr>
          <w:b/>
          <w:lang w:val="nl-NL"/>
        </w:rPr>
      </w:pPr>
      <w:r w:rsidRPr="001876BF">
        <w:rPr>
          <w:b/>
          <w:lang w:val="nl-NL"/>
        </w:rPr>
        <w:t xml:space="preserve">1. Về nội dung dự thảo nghị quyết: </w:t>
      </w:r>
    </w:p>
    <w:p w:rsidR="003A0769" w:rsidRPr="009B239D" w:rsidRDefault="003A0769" w:rsidP="009266E1">
      <w:pPr>
        <w:widowControl w:val="0"/>
        <w:spacing w:before="120" w:after="120" w:line="264" w:lineRule="auto"/>
        <w:ind w:firstLine="720"/>
        <w:jc w:val="both"/>
        <w:rPr>
          <w:lang w:val="nl-NL"/>
        </w:rPr>
      </w:pPr>
      <w:r w:rsidRPr="001876BF">
        <w:rPr>
          <w:lang w:val="nl-NL"/>
        </w:rPr>
        <w:t xml:space="preserve">Thực hiện việc rà soát văn bản theo quy định của Luật ban hành văn bản quy phạm pháp luật năm 2015, Ủy ban nhân dân tỉnh đã </w:t>
      </w:r>
      <w:r w:rsidRPr="009B239D">
        <w:rPr>
          <w:lang w:val="nl-NL"/>
        </w:rPr>
        <w:t>chỉ đạo các cơ quan liên quan rà soát văn bản quy phạm pháp luật do Hội đồng nhân dân tỉnh ban hành</w:t>
      </w:r>
      <w:r>
        <w:rPr>
          <w:lang w:val="nl-NL"/>
        </w:rPr>
        <w:t>. Qua rà soát,</w:t>
      </w:r>
      <w:r w:rsidRPr="001876BF">
        <w:rPr>
          <w:lang w:val="nl-NL"/>
        </w:rPr>
        <w:t xml:space="preserve"> một số Nghị quyết và nội dung qui định trong các Nghị quyết không còn phù hợp với quy định của pháp luật hiện hành và điều kiện phát triển kinh tế - xã hội của địa phương.</w:t>
      </w:r>
      <w:r w:rsidRPr="009B239D">
        <w:rPr>
          <w:lang w:val="nl-NL"/>
        </w:rPr>
        <w:t xml:space="preserve"> Ủy ban nhân dân tỉnh</w:t>
      </w:r>
      <w:r w:rsidRPr="001876BF">
        <w:rPr>
          <w:lang w:val="nl-NL"/>
        </w:rPr>
        <w:t xml:space="preserve"> </w:t>
      </w:r>
      <w:r w:rsidRPr="009B239D">
        <w:rPr>
          <w:lang w:val="nl-NL"/>
        </w:rPr>
        <w:t>trình</w:t>
      </w:r>
      <w:r w:rsidRPr="001876BF">
        <w:rPr>
          <w:lang w:val="nl-NL"/>
        </w:rPr>
        <w:t xml:space="preserve"> Hội đồng nhân dân tỉnh </w:t>
      </w:r>
      <w:r w:rsidRPr="009B239D">
        <w:rPr>
          <w:lang w:val="nl-NL"/>
        </w:rPr>
        <w:t xml:space="preserve">xem xét, </w:t>
      </w:r>
      <w:r w:rsidRPr="001876BF">
        <w:rPr>
          <w:lang w:val="nl-NL"/>
        </w:rPr>
        <w:t xml:space="preserve">ban hành </w:t>
      </w:r>
      <w:r w:rsidRPr="009B239D">
        <w:rPr>
          <w:lang w:val="nl-NL"/>
        </w:rPr>
        <w:t>N</w:t>
      </w:r>
      <w:r w:rsidRPr="001876BF">
        <w:rPr>
          <w:lang w:val="nl-NL"/>
        </w:rPr>
        <w:t xml:space="preserve">ghị quyết </w:t>
      </w:r>
      <w:r w:rsidRPr="009B239D">
        <w:rPr>
          <w:lang w:val="nl-NL"/>
        </w:rPr>
        <w:t>bãi bỏ các Nghị quyết và một số nội dung trong các Nghị quyết do Hội đồng nhân dân tỉnh ban hành</w:t>
      </w:r>
      <w:r w:rsidRPr="009B239D">
        <w:rPr>
          <w:spacing w:val="-2"/>
          <w:lang w:val="nl-NL"/>
        </w:rPr>
        <w:t>, cụ thể</w:t>
      </w:r>
      <w:r w:rsidRPr="001876BF">
        <w:rPr>
          <w:lang w:val="nl-NL"/>
        </w:rPr>
        <w:t xml:space="preserve"> như sau:</w:t>
      </w:r>
    </w:p>
    <w:p w:rsidR="00CE69D9" w:rsidRPr="00125E44" w:rsidRDefault="00125E44" w:rsidP="009266E1">
      <w:pPr>
        <w:spacing w:before="120" w:after="120" w:line="264" w:lineRule="auto"/>
        <w:ind w:firstLine="720"/>
        <w:jc w:val="both"/>
        <w:rPr>
          <w:color w:val="000000"/>
          <w:lang w:val="nl-NL"/>
        </w:rPr>
      </w:pPr>
      <w:r w:rsidRPr="001876BF">
        <w:rPr>
          <w:color w:val="000000"/>
          <w:lang w:val="nl-NL"/>
        </w:rPr>
        <w:t>(</w:t>
      </w:r>
      <w:r w:rsidR="00CE69D9" w:rsidRPr="00125E44">
        <w:rPr>
          <w:color w:val="000000"/>
          <w:lang w:val="vi-VN"/>
        </w:rPr>
        <w:t>1</w:t>
      </w:r>
      <w:r w:rsidRPr="001876BF">
        <w:rPr>
          <w:color w:val="000000"/>
          <w:lang w:val="nl-NL"/>
        </w:rPr>
        <w:t>)</w:t>
      </w:r>
      <w:r w:rsidR="00CE69D9" w:rsidRPr="00125E44">
        <w:rPr>
          <w:color w:val="000000"/>
          <w:lang w:val="vi-VN"/>
        </w:rPr>
        <w:t xml:space="preserve"> </w:t>
      </w:r>
      <w:r w:rsidR="00CE69D9" w:rsidRPr="00125E44">
        <w:rPr>
          <w:color w:val="000000"/>
          <w:lang w:val="nl-NL"/>
        </w:rPr>
        <w:t xml:space="preserve">Sửa đổi, bổ sung một số Điều và nội dung trong các Nghị quyết do </w:t>
      </w:r>
      <w:r w:rsidR="00CE69D9" w:rsidRPr="001876BF">
        <w:rPr>
          <w:rFonts w:eastAsia="Times New Roman"/>
          <w:szCs w:val="28"/>
          <w:lang w:val="nl-NL" w:eastAsia="vi-VN"/>
        </w:rPr>
        <w:t>Hội đồng nhân dân tỉnh Kon Tum ban hành</w:t>
      </w:r>
      <w:r w:rsidRPr="001876BF">
        <w:rPr>
          <w:rFonts w:eastAsia="Times New Roman"/>
          <w:szCs w:val="28"/>
          <w:lang w:val="nl-NL" w:eastAsia="vi-VN"/>
        </w:rPr>
        <w:t>:</w:t>
      </w:r>
    </w:p>
    <w:p w:rsidR="003A0769" w:rsidRDefault="00CE69D9" w:rsidP="009266E1">
      <w:pPr>
        <w:widowControl w:val="0"/>
        <w:spacing w:before="120" w:after="120" w:line="264" w:lineRule="auto"/>
        <w:ind w:firstLine="720"/>
        <w:jc w:val="both"/>
        <w:rPr>
          <w:rFonts w:eastAsia="Times New Roman"/>
          <w:szCs w:val="28"/>
          <w:lang w:val="vi-VN" w:eastAsia="vi-VN"/>
        </w:rPr>
      </w:pPr>
      <w:r>
        <w:rPr>
          <w:rFonts w:eastAsia="Times New Roman"/>
          <w:szCs w:val="28"/>
          <w:lang w:val="vi-VN"/>
        </w:rPr>
        <w:t xml:space="preserve">- Sửa đổi, bổ sung </w:t>
      </w:r>
      <w:r w:rsidRPr="002F1CD1">
        <w:rPr>
          <w:rFonts w:eastAsia="Times New Roman"/>
          <w:szCs w:val="28"/>
          <w:lang w:val="nl-NL"/>
        </w:rPr>
        <w:t>T</w:t>
      </w:r>
      <w:r w:rsidRPr="001876BF">
        <w:rPr>
          <w:rFonts w:eastAsia="Times New Roman"/>
          <w:szCs w:val="28"/>
          <w:lang w:val="nl-NL" w:eastAsia="vi-VN"/>
        </w:rPr>
        <w:t>iết a điểm 1.2 khoản 1 Điều 1 của Nghị quyết số 28/2013/NQ-HĐND ngày 11 tháng 12</w:t>
      </w:r>
      <w:r w:rsidRPr="002F1CD1">
        <w:rPr>
          <w:rFonts w:eastAsia="Times New Roman"/>
          <w:szCs w:val="28"/>
          <w:lang w:val="nl-NL" w:eastAsia="vi-VN"/>
        </w:rPr>
        <w:t xml:space="preserve"> </w:t>
      </w:r>
      <w:r w:rsidRPr="001876BF">
        <w:rPr>
          <w:rFonts w:eastAsia="Times New Roman"/>
          <w:szCs w:val="28"/>
          <w:lang w:val="nl-NL" w:eastAsia="vi-VN"/>
        </w:rPr>
        <w:t>năm 2013</w:t>
      </w:r>
      <w:r w:rsidRPr="002F1CD1">
        <w:rPr>
          <w:rFonts w:eastAsia="Times New Roman"/>
          <w:szCs w:val="28"/>
          <w:lang w:val="nl-NL" w:eastAsia="vi-VN"/>
        </w:rPr>
        <w:t xml:space="preserve"> của Hội đồng nhân dân tỉnh Kon Tum</w:t>
      </w:r>
      <w:r w:rsidRPr="001876BF">
        <w:rPr>
          <w:rFonts w:eastAsia="Times New Roman"/>
          <w:szCs w:val="28"/>
          <w:lang w:val="nl-NL" w:eastAsia="vi-VN"/>
        </w:rPr>
        <w:t xml:space="preserve"> quy định chế độ chi tiêu tài chính tổ chức các giải thi đấu thể thao tỉnh Kon </w:t>
      </w:r>
      <w:r>
        <w:rPr>
          <w:rFonts w:eastAsia="Times New Roman"/>
          <w:szCs w:val="28"/>
          <w:lang w:val="vi-VN" w:eastAsia="vi-VN"/>
        </w:rPr>
        <w:t>Tum;</w:t>
      </w:r>
    </w:p>
    <w:p w:rsidR="00CE69D9" w:rsidRDefault="00CE69D9" w:rsidP="009266E1">
      <w:pPr>
        <w:widowControl w:val="0"/>
        <w:spacing w:before="120" w:after="120" w:line="264" w:lineRule="auto"/>
        <w:ind w:firstLine="720"/>
        <w:jc w:val="both"/>
        <w:rPr>
          <w:rFonts w:eastAsia="Times New Roman"/>
          <w:szCs w:val="28"/>
          <w:lang w:val="vi-VN" w:eastAsia="vi-VN"/>
        </w:rPr>
      </w:pPr>
      <w:r>
        <w:rPr>
          <w:rFonts w:eastAsia="Times New Roman"/>
          <w:szCs w:val="28"/>
          <w:lang w:val="vi-VN" w:eastAsia="vi-VN"/>
        </w:rPr>
        <w:lastRenderedPageBreak/>
        <w:t xml:space="preserve">- Sửa đổi, bổ sung </w:t>
      </w:r>
      <w:r w:rsidRPr="001876BF">
        <w:rPr>
          <w:rFonts w:eastAsia="Times New Roman"/>
          <w:szCs w:val="28"/>
          <w:lang w:val="vi-VN" w:eastAsia="vi-VN"/>
        </w:rPr>
        <w:t>Phụ lục ban hành kèm theo Nghị quyết</w:t>
      </w:r>
      <w:bookmarkStart w:id="0" w:name="RANGE!D9"/>
      <w:r w:rsidRPr="001876BF">
        <w:rPr>
          <w:rFonts w:eastAsia="Times New Roman"/>
          <w:szCs w:val="28"/>
          <w:lang w:val="vi-VN" w:eastAsia="vi-VN"/>
        </w:rPr>
        <w:t xml:space="preserve"> số 05/2014/NQ-HĐND ngày 11 tháng 7 năm 2014</w:t>
      </w:r>
      <w:bookmarkEnd w:id="0"/>
      <w:r w:rsidRPr="001876BF">
        <w:rPr>
          <w:rFonts w:eastAsia="Times New Roman"/>
          <w:szCs w:val="28"/>
          <w:lang w:val="vi-VN" w:eastAsia="vi-VN"/>
        </w:rPr>
        <w:t xml:space="preserve"> của Hội đồng nhân dân tỉnh Kon Tum quy định mức chi bảo đảm cho công tác phổ biến, giáo dục pháp luật và chuẩn tiếp cận pháp luật của người dân tại cơ sở trên địa bàn tỉnh Kon </w:t>
      </w:r>
      <w:r>
        <w:rPr>
          <w:rFonts w:eastAsia="Times New Roman"/>
          <w:szCs w:val="28"/>
          <w:lang w:val="vi-VN" w:eastAsia="vi-VN"/>
        </w:rPr>
        <w:t>Tum;</w:t>
      </w:r>
    </w:p>
    <w:p w:rsidR="00CE69D9" w:rsidRPr="00CE69D9" w:rsidRDefault="00CE69D9" w:rsidP="009266E1">
      <w:pPr>
        <w:widowControl w:val="0"/>
        <w:spacing w:before="120" w:after="120" w:line="264" w:lineRule="auto"/>
        <w:ind w:firstLine="720"/>
        <w:jc w:val="both"/>
        <w:rPr>
          <w:b/>
          <w:bCs/>
          <w:lang w:val="vi-VN"/>
        </w:rPr>
      </w:pPr>
      <w:r>
        <w:rPr>
          <w:rFonts w:eastAsia="Times New Roman"/>
          <w:szCs w:val="28"/>
          <w:lang w:val="vi-VN" w:eastAsia="vi-VN"/>
        </w:rPr>
        <w:t>- Sửa đổ</w:t>
      </w:r>
      <w:r w:rsidR="00077484" w:rsidRPr="001876BF">
        <w:rPr>
          <w:rFonts w:eastAsia="Times New Roman"/>
          <w:szCs w:val="28"/>
          <w:lang w:val="vi-VN" w:eastAsia="vi-VN"/>
        </w:rPr>
        <w:t>i</w:t>
      </w:r>
      <w:r>
        <w:rPr>
          <w:rFonts w:eastAsia="Times New Roman"/>
          <w:szCs w:val="28"/>
          <w:lang w:val="vi-VN" w:eastAsia="vi-VN"/>
        </w:rPr>
        <w:t xml:space="preserve">, bổ sung </w:t>
      </w:r>
      <w:r w:rsidRPr="001876BF">
        <w:rPr>
          <w:rFonts w:eastAsia="Times New Roman"/>
          <w:szCs w:val="28"/>
          <w:lang w:val="vi-VN" w:eastAsia="vi-VN"/>
        </w:rPr>
        <w:t xml:space="preserve">Điểm 1 Mục I Phụ lục số 02 ban hành kèm theo Nghị quyết số 14/2019/NQ-HĐND ngày 18 tháng 7 năm 2019 của Hội đồng nhân dân tỉnh sửa đổi, bổ sung một số điều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w:t>
      </w:r>
      <w:r>
        <w:rPr>
          <w:rFonts w:eastAsia="Times New Roman"/>
          <w:szCs w:val="28"/>
          <w:lang w:val="vi-VN" w:eastAsia="vi-VN"/>
        </w:rPr>
        <w:t>Tum;</w:t>
      </w:r>
    </w:p>
    <w:p w:rsidR="003A0769" w:rsidRDefault="00CE69D9" w:rsidP="009266E1">
      <w:pPr>
        <w:widowControl w:val="0"/>
        <w:spacing w:before="120" w:after="120" w:line="264" w:lineRule="auto"/>
        <w:ind w:firstLine="720"/>
        <w:jc w:val="both"/>
        <w:rPr>
          <w:rFonts w:eastAsia="Times New Roman"/>
          <w:szCs w:val="28"/>
          <w:lang w:val="vi-VN" w:eastAsia="vi-VN"/>
        </w:rPr>
      </w:pPr>
      <w:r>
        <w:rPr>
          <w:rFonts w:eastAsia="Times New Roman"/>
          <w:szCs w:val="28"/>
          <w:lang w:val="vi-VN" w:eastAsia="vi-VN"/>
        </w:rPr>
        <w:t>- Sửa đổ</w:t>
      </w:r>
      <w:r w:rsidR="00077484" w:rsidRPr="001876BF">
        <w:rPr>
          <w:rFonts w:eastAsia="Times New Roman"/>
          <w:szCs w:val="28"/>
          <w:lang w:val="vi-VN" w:eastAsia="vi-VN"/>
        </w:rPr>
        <w:t>i</w:t>
      </w:r>
      <w:r>
        <w:rPr>
          <w:rFonts w:eastAsia="Times New Roman"/>
          <w:szCs w:val="28"/>
          <w:lang w:val="vi-VN" w:eastAsia="vi-VN"/>
        </w:rPr>
        <w:t xml:space="preserve">, bổ sung </w:t>
      </w:r>
      <w:r w:rsidRPr="001876BF">
        <w:rPr>
          <w:rFonts w:eastAsia="Times New Roman"/>
          <w:szCs w:val="28"/>
          <w:lang w:val="vi-VN" w:eastAsia="vi-VN"/>
        </w:rPr>
        <w:t xml:space="preserve">Điểm 1 Mục I Phụ lục số 02 ban hành kèm theo Nghị quyết số 14/2019/NQ-HĐND ngày 18 tháng 7 năm 2019 của Hội đồng nhân dân tỉnh sửa đổi, bổ sung một số điều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w:t>
      </w:r>
      <w:r>
        <w:rPr>
          <w:rFonts w:eastAsia="Times New Roman"/>
          <w:szCs w:val="28"/>
          <w:lang w:val="vi-VN" w:eastAsia="vi-VN"/>
        </w:rPr>
        <w:t>Tum.</w:t>
      </w:r>
    </w:p>
    <w:p w:rsidR="00CE69D9" w:rsidRPr="00125E44" w:rsidRDefault="00125E44" w:rsidP="009266E1">
      <w:pPr>
        <w:pStyle w:val="NormalWeb"/>
        <w:shd w:val="clear" w:color="auto" w:fill="FFFFFF"/>
        <w:spacing w:before="120" w:beforeAutospacing="0" w:after="120" w:afterAutospacing="0" w:line="264" w:lineRule="auto"/>
        <w:ind w:firstLine="720"/>
        <w:jc w:val="both"/>
        <w:rPr>
          <w:sz w:val="28"/>
          <w:szCs w:val="28"/>
          <w:lang w:val="nl-NL"/>
        </w:rPr>
      </w:pPr>
      <w:r w:rsidRPr="001876BF">
        <w:rPr>
          <w:color w:val="000000"/>
          <w:sz w:val="28"/>
          <w:szCs w:val="28"/>
          <w:lang w:val="vi-VN"/>
        </w:rPr>
        <w:t>(</w:t>
      </w:r>
      <w:r w:rsidR="00CE69D9" w:rsidRPr="00125E44">
        <w:rPr>
          <w:color w:val="000000"/>
          <w:sz w:val="28"/>
          <w:szCs w:val="28"/>
          <w:lang w:val="vi-VN"/>
        </w:rPr>
        <w:t>2</w:t>
      </w:r>
      <w:r w:rsidRPr="001876BF">
        <w:rPr>
          <w:color w:val="000000"/>
          <w:sz w:val="28"/>
          <w:szCs w:val="28"/>
          <w:lang w:val="vi-VN"/>
        </w:rPr>
        <w:t>)</w:t>
      </w:r>
      <w:r w:rsidR="00CE69D9" w:rsidRPr="00125E44">
        <w:rPr>
          <w:color w:val="000000"/>
          <w:sz w:val="28"/>
          <w:szCs w:val="28"/>
          <w:lang w:val="vi-VN"/>
        </w:rPr>
        <w:t xml:space="preserve"> </w:t>
      </w:r>
      <w:r w:rsidR="00CE69D9" w:rsidRPr="00125E44">
        <w:rPr>
          <w:color w:val="000000"/>
          <w:sz w:val="28"/>
          <w:szCs w:val="28"/>
          <w:lang w:val="nl-NL"/>
        </w:rPr>
        <w:t>Bãi bỏ các Nghị quyết, nội dung trong các Nghị quyết do Hội đồng nhân dân tỉnh Kon Tum ban hành</w:t>
      </w:r>
      <w:r>
        <w:rPr>
          <w:color w:val="000000"/>
          <w:sz w:val="28"/>
          <w:szCs w:val="28"/>
          <w:lang w:val="nl-NL"/>
        </w:rPr>
        <w:t>:</w:t>
      </w:r>
    </w:p>
    <w:p w:rsidR="00CE69D9" w:rsidRPr="002F1CD1" w:rsidRDefault="00CE69D9" w:rsidP="009266E1">
      <w:pPr>
        <w:pStyle w:val="NormalWeb"/>
        <w:shd w:val="clear" w:color="auto" w:fill="FFFFFF"/>
        <w:spacing w:before="120" w:beforeAutospacing="0" w:after="120" w:afterAutospacing="0" w:line="264" w:lineRule="auto"/>
        <w:ind w:firstLine="720"/>
        <w:jc w:val="both"/>
        <w:rPr>
          <w:sz w:val="28"/>
          <w:szCs w:val="28"/>
          <w:lang w:val="nl-NL"/>
        </w:rPr>
      </w:pPr>
      <w:r>
        <w:rPr>
          <w:sz w:val="28"/>
          <w:szCs w:val="28"/>
          <w:lang w:val="vi-VN"/>
        </w:rPr>
        <w:t>-</w:t>
      </w:r>
      <w:r w:rsidRPr="002F1CD1">
        <w:rPr>
          <w:sz w:val="28"/>
          <w:szCs w:val="28"/>
          <w:lang w:val="nl-NL"/>
        </w:rPr>
        <w:t xml:space="preserve"> Bãi bỏ </w:t>
      </w:r>
      <w:r w:rsidRPr="00F036B8">
        <w:rPr>
          <w:sz w:val="28"/>
          <w:szCs w:val="28"/>
        </w:rPr>
        <w:t xml:space="preserve">Nghị quyết số 15/2007/NQ-HĐND </w:t>
      </w:r>
      <w:r>
        <w:rPr>
          <w:sz w:val="28"/>
          <w:szCs w:val="28"/>
        </w:rPr>
        <w:t xml:space="preserve">ngày 17 tháng </w:t>
      </w:r>
      <w:r w:rsidRPr="00F036B8">
        <w:rPr>
          <w:sz w:val="28"/>
          <w:szCs w:val="28"/>
        </w:rPr>
        <w:t>12</w:t>
      </w:r>
      <w:r w:rsidRPr="002F1CD1">
        <w:rPr>
          <w:sz w:val="28"/>
          <w:szCs w:val="28"/>
          <w:lang w:val="nl-NL"/>
        </w:rPr>
        <w:t xml:space="preserve"> năm </w:t>
      </w:r>
      <w:r w:rsidRPr="00F036B8">
        <w:rPr>
          <w:sz w:val="28"/>
          <w:szCs w:val="28"/>
        </w:rPr>
        <w:t xml:space="preserve">2007 </w:t>
      </w:r>
      <w:r w:rsidRPr="002F1CD1">
        <w:rPr>
          <w:sz w:val="28"/>
          <w:szCs w:val="28"/>
          <w:lang w:val="nl-NL"/>
        </w:rPr>
        <w:t>của Hội đồng nhân dân tỉnh Kon Tum v</w:t>
      </w:r>
      <w:r w:rsidRPr="00F036B8">
        <w:rPr>
          <w:sz w:val="28"/>
          <w:szCs w:val="28"/>
        </w:rPr>
        <w:t>ề kết quả rà soát quy hoạch lại ba loại rừng tỉnh Kon Tum</w:t>
      </w:r>
      <w:r w:rsidRPr="002F1CD1">
        <w:rPr>
          <w:sz w:val="28"/>
          <w:szCs w:val="28"/>
          <w:lang w:val="nl-NL"/>
        </w:rPr>
        <w:t>.</w:t>
      </w:r>
    </w:p>
    <w:p w:rsidR="00CE69D9" w:rsidRPr="002F4BA7" w:rsidRDefault="00CE69D9" w:rsidP="009266E1">
      <w:pPr>
        <w:pStyle w:val="NormalWeb"/>
        <w:shd w:val="clear" w:color="auto" w:fill="FFFFFF"/>
        <w:spacing w:before="120" w:beforeAutospacing="0" w:after="120" w:afterAutospacing="0" w:line="264" w:lineRule="auto"/>
        <w:ind w:firstLine="720"/>
        <w:jc w:val="both"/>
        <w:textAlignment w:val="baseline"/>
        <w:rPr>
          <w:rStyle w:val="Strong"/>
          <w:b w:val="0"/>
          <w:color w:val="000000"/>
          <w:spacing w:val="-2"/>
          <w:sz w:val="28"/>
          <w:szCs w:val="28"/>
          <w:bdr w:val="none" w:sz="0" w:space="0" w:color="auto" w:frame="1"/>
        </w:rPr>
      </w:pPr>
      <w:r>
        <w:rPr>
          <w:sz w:val="28"/>
          <w:szCs w:val="28"/>
          <w:lang w:val="vi-VN"/>
        </w:rPr>
        <w:t>-</w:t>
      </w:r>
      <w:r w:rsidRPr="002F1CD1">
        <w:rPr>
          <w:sz w:val="28"/>
          <w:szCs w:val="28"/>
          <w:lang w:val="nl-NL"/>
        </w:rPr>
        <w:t xml:space="preserve"> Bãi bỏ</w:t>
      </w:r>
      <w:r w:rsidRPr="002F4BA7">
        <w:rPr>
          <w:spacing w:val="-2"/>
          <w:sz w:val="28"/>
          <w:szCs w:val="28"/>
        </w:rPr>
        <w:t xml:space="preserve"> Nghị quyết số 28/2007/NQ-HĐND ngày 17 tháng 12</w:t>
      </w:r>
      <w:r w:rsidRPr="002F4BA7">
        <w:rPr>
          <w:spacing w:val="-2"/>
          <w:sz w:val="28"/>
          <w:szCs w:val="28"/>
          <w:lang w:val="nl-NL"/>
        </w:rPr>
        <w:t xml:space="preserve"> năm </w:t>
      </w:r>
      <w:r w:rsidRPr="002F4BA7">
        <w:rPr>
          <w:spacing w:val="-2"/>
          <w:sz w:val="28"/>
          <w:szCs w:val="28"/>
        </w:rPr>
        <w:t xml:space="preserve">2007 của Hội đồng nhân dân tỉnh Kon Tum </w:t>
      </w:r>
      <w:r w:rsidRPr="002F4BA7">
        <w:rPr>
          <w:rStyle w:val="Strong"/>
          <w:b w:val="0"/>
          <w:color w:val="000000"/>
          <w:spacing w:val="-2"/>
          <w:sz w:val="28"/>
          <w:szCs w:val="28"/>
          <w:bdr w:val="none" w:sz="0" w:space="0" w:color="auto" w:frame="1"/>
        </w:rPr>
        <w:t>sửa đổi, bổ sung một số điều của Nghị quyết số 15/</w:t>
      </w:r>
      <w:r w:rsidRPr="002F4BA7">
        <w:rPr>
          <w:rStyle w:val="Strong"/>
          <w:b w:val="0"/>
          <w:color w:val="000000"/>
          <w:spacing w:val="-2"/>
          <w:sz w:val="28"/>
          <w:szCs w:val="28"/>
          <w:bdr w:val="none" w:sz="0" w:space="0" w:color="auto" w:frame="1"/>
          <w:lang w:val="nl-NL"/>
        </w:rPr>
        <w:t>2007/</w:t>
      </w:r>
      <w:r w:rsidRPr="002F4BA7">
        <w:rPr>
          <w:rStyle w:val="Strong"/>
          <w:b w:val="0"/>
          <w:color w:val="000000"/>
          <w:spacing w:val="-2"/>
          <w:sz w:val="28"/>
          <w:szCs w:val="28"/>
          <w:bdr w:val="none" w:sz="0" w:space="0" w:color="auto" w:frame="1"/>
        </w:rPr>
        <w:t>NQ-HĐND ngày 11</w:t>
      </w:r>
      <w:r w:rsidRPr="002F4BA7">
        <w:rPr>
          <w:rStyle w:val="Strong"/>
          <w:b w:val="0"/>
          <w:color w:val="000000"/>
          <w:spacing w:val="-2"/>
          <w:sz w:val="28"/>
          <w:szCs w:val="28"/>
          <w:bdr w:val="none" w:sz="0" w:space="0" w:color="auto" w:frame="1"/>
          <w:lang w:val="nl-NL"/>
        </w:rPr>
        <w:t xml:space="preserve"> tháng </w:t>
      </w:r>
      <w:r w:rsidRPr="002F4BA7">
        <w:rPr>
          <w:rStyle w:val="Strong"/>
          <w:b w:val="0"/>
          <w:color w:val="000000"/>
          <w:spacing w:val="-2"/>
          <w:sz w:val="28"/>
          <w:szCs w:val="28"/>
          <w:bdr w:val="none" w:sz="0" w:space="0" w:color="auto" w:frame="1"/>
        </w:rPr>
        <w:t>7 năm 2007 của kỳ họp thứ 8,</w:t>
      </w:r>
      <w:r w:rsidRPr="002F4BA7">
        <w:rPr>
          <w:color w:val="000000"/>
          <w:spacing w:val="-2"/>
          <w:sz w:val="28"/>
          <w:szCs w:val="28"/>
        </w:rPr>
        <w:t xml:space="preserve"> </w:t>
      </w:r>
      <w:r w:rsidRPr="002F4BA7">
        <w:rPr>
          <w:rStyle w:val="Strong"/>
          <w:b w:val="0"/>
          <w:color w:val="000000"/>
          <w:spacing w:val="-2"/>
          <w:sz w:val="28"/>
          <w:szCs w:val="28"/>
          <w:bdr w:val="none" w:sz="0" w:space="0" w:color="auto" w:frame="1"/>
        </w:rPr>
        <w:t>Hội đồng nhân dân tỉnh khoá IX về kết quả rà soát, quy hoạch lại 3 loại rừng tỉnh Kon Tum.</w:t>
      </w:r>
    </w:p>
    <w:p w:rsidR="00CE69D9" w:rsidRPr="00AE6F74" w:rsidRDefault="00CE69D9" w:rsidP="009266E1">
      <w:pPr>
        <w:pStyle w:val="NormalWeb"/>
        <w:shd w:val="clear" w:color="auto" w:fill="FFFFFF"/>
        <w:spacing w:before="120" w:beforeAutospacing="0" w:after="120" w:afterAutospacing="0" w:line="264" w:lineRule="auto"/>
        <w:ind w:firstLine="720"/>
        <w:jc w:val="both"/>
        <w:textAlignment w:val="baseline"/>
        <w:rPr>
          <w:color w:val="000000"/>
          <w:sz w:val="28"/>
          <w:szCs w:val="28"/>
          <w:lang w:val="en-US"/>
        </w:rPr>
      </w:pPr>
      <w:r>
        <w:rPr>
          <w:sz w:val="28"/>
          <w:szCs w:val="28"/>
          <w:lang w:val="vi-VN"/>
        </w:rPr>
        <w:t>-</w:t>
      </w:r>
      <w:r w:rsidRPr="002F1CD1">
        <w:rPr>
          <w:sz w:val="28"/>
          <w:szCs w:val="28"/>
          <w:lang w:val="nl-NL"/>
        </w:rPr>
        <w:t xml:space="preserve"> Bãi bỏ</w:t>
      </w:r>
      <w:r>
        <w:rPr>
          <w:rStyle w:val="Strong"/>
          <w:b w:val="0"/>
          <w:color w:val="000000"/>
          <w:sz w:val="28"/>
          <w:szCs w:val="28"/>
          <w:bdr w:val="none" w:sz="0" w:space="0" w:color="auto" w:frame="1"/>
          <w:lang w:val="en-US"/>
        </w:rPr>
        <w:t xml:space="preserve"> </w:t>
      </w:r>
      <w:r w:rsidRPr="00AE6F74">
        <w:rPr>
          <w:sz w:val="28"/>
          <w:szCs w:val="28"/>
        </w:rPr>
        <w:t>Nghị quyết số 07/2017/NQ-HĐND ngày 21 tháng 7 năm 2017</w:t>
      </w:r>
      <w:r w:rsidRPr="00AE6F74">
        <w:rPr>
          <w:sz w:val="28"/>
          <w:szCs w:val="28"/>
          <w:lang w:val="en-US"/>
        </w:rPr>
        <w:t xml:space="preserve"> </w:t>
      </w:r>
      <w:r w:rsidRPr="00AE6F74">
        <w:rPr>
          <w:sz w:val="28"/>
          <w:szCs w:val="28"/>
        </w:rPr>
        <w:t>của Hội đồng nhân dân tỉnh</w:t>
      </w:r>
      <w:r w:rsidRPr="00AE6F74">
        <w:rPr>
          <w:sz w:val="28"/>
          <w:szCs w:val="28"/>
          <w:lang w:val="en-US"/>
        </w:rPr>
        <w:t xml:space="preserve"> Kon Tum</w:t>
      </w:r>
      <w:r w:rsidRPr="00AE6F74">
        <w:rPr>
          <w:color w:val="FF0000"/>
          <w:sz w:val="28"/>
          <w:szCs w:val="28"/>
          <w:lang w:val="en-US"/>
        </w:rPr>
        <w:t xml:space="preserve"> </w:t>
      </w:r>
      <w:r w:rsidRPr="00AE6F74">
        <w:rPr>
          <w:rStyle w:val="Strong"/>
          <w:b w:val="0"/>
          <w:color w:val="000000"/>
          <w:sz w:val="28"/>
          <w:szCs w:val="28"/>
          <w:bdr w:val="none" w:sz="0" w:space="0" w:color="auto" w:frame="1"/>
        </w:rPr>
        <w:t>Quy định về bố trí sử dụng phí bảo vệ môi trường đối với nước thải sinh hoạt</w:t>
      </w:r>
      <w:r w:rsidRPr="00AE6F74">
        <w:rPr>
          <w:b/>
          <w:color w:val="000000"/>
          <w:sz w:val="28"/>
          <w:szCs w:val="28"/>
          <w:lang w:val="en-US"/>
        </w:rPr>
        <w:t xml:space="preserve"> </w:t>
      </w:r>
      <w:r w:rsidRPr="00AE6F74">
        <w:rPr>
          <w:rStyle w:val="Strong"/>
          <w:b w:val="0"/>
          <w:color w:val="000000"/>
          <w:sz w:val="28"/>
          <w:szCs w:val="28"/>
          <w:bdr w:val="none" w:sz="0" w:space="0" w:color="auto" w:frame="1"/>
        </w:rPr>
        <w:t>trên địa bàn tỉnh Kon Tum</w:t>
      </w:r>
      <w:r w:rsidRPr="00AE6F74">
        <w:rPr>
          <w:rStyle w:val="Strong"/>
          <w:b w:val="0"/>
          <w:color w:val="000000"/>
          <w:sz w:val="28"/>
          <w:szCs w:val="28"/>
          <w:bdr w:val="none" w:sz="0" w:space="0" w:color="auto" w:frame="1"/>
          <w:lang w:val="en-US"/>
        </w:rPr>
        <w:t>.</w:t>
      </w:r>
    </w:p>
    <w:p w:rsidR="00CE69D9" w:rsidRDefault="00CE69D9" w:rsidP="009266E1">
      <w:pPr>
        <w:pStyle w:val="NormalWeb"/>
        <w:shd w:val="clear" w:color="auto" w:fill="FFFFFF"/>
        <w:spacing w:before="120" w:beforeAutospacing="0" w:after="120" w:afterAutospacing="0" w:line="264" w:lineRule="auto"/>
        <w:ind w:firstLine="720"/>
        <w:jc w:val="both"/>
        <w:textAlignment w:val="baseline"/>
        <w:rPr>
          <w:sz w:val="28"/>
          <w:szCs w:val="28"/>
          <w:lang w:val="en-US"/>
        </w:rPr>
      </w:pPr>
      <w:r w:rsidRPr="00125E44">
        <w:rPr>
          <w:color w:val="000000"/>
          <w:sz w:val="28"/>
          <w:szCs w:val="28"/>
          <w:lang w:val="vi-VN"/>
        </w:rPr>
        <w:t>-</w:t>
      </w:r>
      <w:r>
        <w:rPr>
          <w:b/>
          <w:color w:val="000000"/>
          <w:sz w:val="28"/>
          <w:szCs w:val="28"/>
          <w:lang w:val="vi-VN"/>
        </w:rPr>
        <w:t xml:space="preserve"> </w:t>
      </w:r>
      <w:r>
        <w:rPr>
          <w:rStyle w:val="Strong"/>
          <w:b w:val="0"/>
          <w:color w:val="000000"/>
          <w:sz w:val="28"/>
          <w:szCs w:val="28"/>
          <w:bdr w:val="none" w:sz="0" w:space="0" w:color="auto" w:frame="1"/>
          <w:lang w:val="en-US"/>
        </w:rPr>
        <w:t xml:space="preserve">Bãi bỏ </w:t>
      </w:r>
      <w:r w:rsidRPr="00F036B8">
        <w:rPr>
          <w:sz w:val="28"/>
          <w:szCs w:val="28"/>
        </w:rPr>
        <w:t xml:space="preserve">Phụ lục số </w:t>
      </w:r>
      <w:r>
        <w:rPr>
          <w:sz w:val="28"/>
          <w:szCs w:val="28"/>
          <w:lang w:val="en-US"/>
        </w:rPr>
        <w:t>0</w:t>
      </w:r>
      <w:r w:rsidRPr="00F036B8">
        <w:rPr>
          <w:sz w:val="28"/>
          <w:szCs w:val="28"/>
        </w:rPr>
        <w:t>1</w:t>
      </w:r>
      <w:r>
        <w:rPr>
          <w:sz w:val="28"/>
          <w:szCs w:val="28"/>
          <w:lang w:val="en-US"/>
        </w:rPr>
        <w:t xml:space="preserve"> ban hành</w:t>
      </w:r>
      <w:r w:rsidRPr="00F036B8">
        <w:rPr>
          <w:sz w:val="28"/>
          <w:szCs w:val="28"/>
        </w:rPr>
        <w:t xml:space="preserve"> kèm theo Nghị quy</w:t>
      </w:r>
      <w:r>
        <w:rPr>
          <w:sz w:val="28"/>
          <w:szCs w:val="28"/>
        </w:rPr>
        <w:t xml:space="preserve">ết số 17/2013/NQ-HĐND ngày 04 tháng 7 năm </w:t>
      </w:r>
      <w:r w:rsidRPr="00F036B8">
        <w:rPr>
          <w:sz w:val="28"/>
          <w:szCs w:val="28"/>
        </w:rPr>
        <w:t>2013</w:t>
      </w:r>
      <w:r w:rsidRPr="00F036B8">
        <w:rPr>
          <w:sz w:val="28"/>
          <w:szCs w:val="28"/>
          <w:lang w:val="en-US"/>
        </w:rPr>
        <w:t xml:space="preserve"> của Hội đồng nhân dân tỉnh</w:t>
      </w:r>
      <w:r w:rsidRPr="00F036B8">
        <w:rPr>
          <w:sz w:val="28"/>
          <w:szCs w:val="28"/>
        </w:rPr>
        <w:t xml:space="preserve"> về việc quy định mức chi đối với công tác cải cách hành chính và hoạt động kiểm soát thủ tục hành chính trên địa bàn tỉnh</w:t>
      </w:r>
      <w:r>
        <w:rPr>
          <w:sz w:val="28"/>
          <w:szCs w:val="28"/>
          <w:lang w:val="en-US"/>
        </w:rPr>
        <w:t>.</w:t>
      </w:r>
    </w:p>
    <w:p w:rsidR="003A0769" w:rsidRPr="00EA743A" w:rsidRDefault="003A0769" w:rsidP="009266E1">
      <w:pPr>
        <w:widowControl w:val="0"/>
        <w:spacing w:before="120" w:after="120" w:line="264" w:lineRule="auto"/>
        <w:ind w:firstLine="720"/>
        <w:jc w:val="both"/>
        <w:rPr>
          <w:b/>
          <w:lang w:val="nl-NL"/>
        </w:rPr>
      </w:pPr>
      <w:r w:rsidRPr="00EA743A">
        <w:rPr>
          <w:b/>
          <w:bCs/>
          <w:lang w:val="nl-NL"/>
        </w:rPr>
        <w:t>2</w:t>
      </w:r>
      <w:r w:rsidRPr="00EA743A">
        <w:rPr>
          <w:b/>
          <w:lang w:val="nl-NL"/>
        </w:rPr>
        <w:t>. Những vấn đề còn có ý kiến khác nhau:</w:t>
      </w:r>
    </w:p>
    <w:p w:rsidR="00CE0085" w:rsidRPr="009B239D" w:rsidRDefault="00CE0085" w:rsidP="009266E1">
      <w:pPr>
        <w:spacing w:before="120" w:after="120" w:line="264" w:lineRule="auto"/>
        <w:ind w:firstLine="720"/>
        <w:jc w:val="both"/>
        <w:rPr>
          <w:shd w:val="clear" w:color="auto" w:fill="FFFFFF"/>
          <w:lang w:val="nl-NL"/>
        </w:rPr>
      </w:pPr>
      <w:r w:rsidRPr="001876BF">
        <w:rPr>
          <w:shd w:val="clear" w:color="auto" w:fill="FFFFFF"/>
          <w:lang w:val="nl-NL"/>
        </w:rPr>
        <w:lastRenderedPageBreak/>
        <w:t xml:space="preserve">Cơ quan chủ trì xây dựng dự thảo </w:t>
      </w:r>
      <w:r w:rsidRPr="009B239D">
        <w:rPr>
          <w:shd w:val="clear" w:color="auto" w:fill="FFFFFF"/>
          <w:lang w:val="nl-NL"/>
        </w:rPr>
        <w:t>N</w:t>
      </w:r>
      <w:r w:rsidRPr="001876BF">
        <w:rPr>
          <w:shd w:val="clear" w:color="auto" w:fill="FFFFFF"/>
          <w:lang w:val="nl-NL"/>
        </w:rPr>
        <w:t>ghị quyết</w:t>
      </w:r>
      <w:r w:rsidRPr="009B239D">
        <w:rPr>
          <w:shd w:val="clear" w:color="auto" w:fill="FFFFFF"/>
          <w:lang w:val="nl-NL"/>
        </w:rPr>
        <w:t xml:space="preserve"> đã</w:t>
      </w:r>
      <w:r w:rsidRPr="001876BF">
        <w:rPr>
          <w:shd w:val="clear" w:color="auto" w:fill="FFFFFF"/>
          <w:lang w:val="nl-NL"/>
        </w:rPr>
        <w:t xml:space="preserve"> gửi lấy ý kiến góp ý của các sở, ngành</w:t>
      </w:r>
      <w:r w:rsidRPr="009B239D">
        <w:rPr>
          <w:shd w:val="clear" w:color="auto" w:fill="FFFFFF"/>
          <w:lang w:val="nl-NL"/>
        </w:rPr>
        <w:t xml:space="preserve">, </w:t>
      </w:r>
      <w:r w:rsidRPr="001876BF">
        <w:rPr>
          <w:shd w:val="clear" w:color="auto" w:fill="FFFFFF"/>
          <w:lang w:val="nl-NL"/>
        </w:rPr>
        <w:t xml:space="preserve">Ủy ban nhân dân các huyện, thành phố và </w:t>
      </w:r>
      <w:r w:rsidRPr="009B239D">
        <w:rPr>
          <w:shd w:val="clear" w:color="auto" w:fill="FFFFFF"/>
          <w:lang w:val="nl-NL"/>
        </w:rPr>
        <w:t>Hội đồng tư vấn thẩm định</w:t>
      </w:r>
      <w:r w:rsidRPr="001876BF">
        <w:rPr>
          <w:shd w:val="clear" w:color="auto" w:fill="FFFFFF"/>
          <w:lang w:val="nl-NL"/>
        </w:rPr>
        <w:t xml:space="preserve">; </w:t>
      </w:r>
      <w:r w:rsidRPr="009B239D">
        <w:rPr>
          <w:shd w:val="clear" w:color="auto" w:fill="FFFFFF"/>
          <w:lang w:val="nl-NL"/>
        </w:rPr>
        <w:t xml:space="preserve">đồng thời </w:t>
      </w:r>
      <w:r w:rsidRPr="001876BF">
        <w:rPr>
          <w:shd w:val="clear" w:color="auto" w:fill="FFFFFF"/>
          <w:lang w:val="nl-NL"/>
        </w:rPr>
        <w:t>đăng tải trên công thông tin điện tử của tỉnh theo đúng quy định.</w:t>
      </w:r>
    </w:p>
    <w:p w:rsidR="00CE0085" w:rsidRPr="003E1C44" w:rsidRDefault="00CE0085" w:rsidP="009266E1">
      <w:pPr>
        <w:spacing w:before="120" w:after="120" w:line="264" w:lineRule="auto"/>
        <w:ind w:firstLine="720"/>
        <w:jc w:val="both"/>
        <w:rPr>
          <w:shd w:val="clear" w:color="auto" w:fill="FFFFFF"/>
          <w:lang w:val="vi-VN"/>
        </w:rPr>
      </w:pPr>
      <w:r w:rsidRPr="001876BF">
        <w:rPr>
          <w:shd w:val="clear" w:color="auto" w:fill="FFFFFF"/>
          <w:lang w:val="nl-NL"/>
        </w:rPr>
        <w:t xml:space="preserve">Về cơ bản, các ý kiến tham gia của các cơ quan, đơn vị; ý kiến thẩm </w:t>
      </w:r>
      <w:r w:rsidR="003E1C44">
        <w:rPr>
          <w:shd w:val="clear" w:color="auto" w:fill="FFFFFF"/>
          <w:lang w:val="vi-VN"/>
        </w:rPr>
        <w:t>định</w:t>
      </w:r>
      <w:r w:rsidR="003E1C44" w:rsidRPr="003E1C44">
        <w:rPr>
          <w:shd w:val="clear" w:color="auto" w:fill="FFFFFF"/>
          <w:vertAlign w:val="superscript"/>
          <w:lang w:val="vi-VN"/>
        </w:rPr>
        <w:t>(</w:t>
      </w:r>
      <w:r w:rsidRPr="003E1C44">
        <w:rPr>
          <w:rStyle w:val="FootnoteReference"/>
          <w:shd w:val="clear" w:color="auto" w:fill="FFFFFF"/>
        </w:rPr>
        <w:footnoteReference w:id="1"/>
      </w:r>
      <w:r w:rsidR="003E1C44" w:rsidRPr="003E1C44">
        <w:rPr>
          <w:shd w:val="clear" w:color="auto" w:fill="FFFFFF"/>
          <w:vertAlign w:val="superscript"/>
          <w:lang w:val="vi-VN"/>
        </w:rPr>
        <w:t>)</w:t>
      </w:r>
      <w:r w:rsidRPr="001876BF">
        <w:rPr>
          <w:shd w:val="clear" w:color="auto" w:fill="FFFFFF"/>
          <w:lang w:val="nl-NL"/>
        </w:rPr>
        <w:t xml:space="preserve"> nhất trí với nội dung dự thảo </w:t>
      </w:r>
      <w:r w:rsidR="003E1C44">
        <w:rPr>
          <w:shd w:val="clear" w:color="auto" w:fill="FFFFFF"/>
          <w:lang w:val="vi-VN"/>
        </w:rPr>
        <w:t>Nghị quyết</w:t>
      </w:r>
      <w:r w:rsidRPr="001876BF">
        <w:rPr>
          <w:shd w:val="clear" w:color="auto" w:fill="FFFFFF"/>
          <w:lang w:val="nl-NL"/>
        </w:rPr>
        <w:t>. Bên cạnh đó, còn có một số ý kiến đề nghị bổ sung, chỉnh lý, Sở Tư pháp tổ</w:t>
      </w:r>
      <w:r w:rsidR="003E1C44" w:rsidRPr="001876BF">
        <w:rPr>
          <w:shd w:val="clear" w:color="auto" w:fill="FFFFFF"/>
          <w:lang w:val="nl-NL"/>
        </w:rPr>
        <w:t>ng</w:t>
      </w:r>
      <w:r w:rsidRPr="001876BF">
        <w:rPr>
          <w:shd w:val="clear" w:color="auto" w:fill="FFFFFF"/>
          <w:lang w:val="nl-NL"/>
        </w:rPr>
        <w:t xml:space="preserve"> giải </w:t>
      </w:r>
      <w:r w:rsidR="003E1C44">
        <w:rPr>
          <w:shd w:val="clear" w:color="auto" w:fill="FFFFFF"/>
          <w:lang w:val="vi-VN"/>
        </w:rPr>
        <w:t>trình, tiếp thu hoàn chỉnh dự thảo Nghị quyết.</w:t>
      </w:r>
    </w:p>
    <w:p w:rsidR="00CE0085" w:rsidRPr="001876BF" w:rsidRDefault="00CE0085" w:rsidP="009266E1">
      <w:pPr>
        <w:spacing w:before="120" w:after="120" w:line="264" w:lineRule="auto"/>
        <w:ind w:firstLine="720"/>
        <w:jc w:val="both"/>
        <w:rPr>
          <w:shd w:val="clear" w:color="auto" w:fill="FFFFFF"/>
          <w:lang w:val="vi-VN"/>
        </w:rPr>
      </w:pPr>
      <w:r w:rsidRPr="001876BF">
        <w:rPr>
          <w:shd w:val="clear" w:color="auto" w:fill="FFFFFF"/>
          <w:lang w:val="vi-VN"/>
        </w:rPr>
        <w:t xml:space="preserve">Qua </w:t>
      </w:r>
      <w:r w:rsidRPr="009B239D">
        <w:rPr>
          <w:shd w:val="clear" w:color="auto" w:fill="FFFFFF"/>
          <w:lang w:val="nl-NL"/>
        </w:rPr>
        <w:t>xem xét</w:t>
      </w:r>
      <w:r w:rsidRPr="001876BF">
        <w:rPr>
          <w:shd w:val="clear" w:color="auto" w:fill="FFFFFF"/>
          <w:lang w:val="vi-VN"/>
        </w:rPr>
        <w:t xml:space="preserve"> báo cáo tiếp thu, giải trình </w:t>
      </w:r>
      <w:r w:rsidRPr="009B239D">
        <w:rPr>
          <w:shd w:val="clear" w:color="auto" w:fill="FFFFFF"/>
          <w:lang w:val="nl-NL"/>
        </w:rPr>
        <w:t xml:space="preserve">số </w:t>
      </w:r>
      <w:r w:rsidR="003E1C44">
        <w:rPr>
          <w:shd w:val="clear" w:color="auto" w:fill="FFFFFF"/>
          <w:lang w:val="vi-VN"/>
        </w:rPr>
        <w:t>196</w:t>
      </w:r>
      <w:r w:rsidRPr="009B239D">
        <w:rPr>
          <w:shd w:val="clear" w:color="auto" w:fill="FFFFFF"/>
          <w:lang w:val="nl-NL"/>
        </w:rPr>
        <w:t xml:space="preserve">/BC-STP ngày </w:t>
      </w:r>
      <w:r w:rsidR="003E1C44">
        <w:rPr>
          <w:shd w:val="clear" w:color="auto" w:fill="FFFFFF"/>
          <w:lang w:val="vi-VN"/>
        </w:rPr>
        <w:t>26</w:t>
      </w:r>
      <w:r>
        <w:rPr>
          <w:shd w:val="clear" w:color="auto" w:fill="FFFFFF"/>
          <w:lang w:val="nl-NL"/>
        </w:rPr>
        <w:t>/</w:t>
      </w:r>
      <w:r w:rsidR="003E1C44">
        <w:rPr>
          <w:shd w:val="clear" w:color="auto" w:fill="FFFFFF"/>
          <w:lang w:val="vi-VN"/>
        </w:rPr>
        <w:t>6</w:t>
      </w:r>
      <w:r w:rsidRPr="009B239D">
        <w:rPr>
          <w:shd w:val="clear" w:color="auto" w:fill="FFFFFF"/>
          <w:lang w:val="nl-NL"/>
        </w:rPr>
        <w:t>/</w:t>
      </w:r>
      <w:r w:rsidR="003E1C44">
        <w:rPr>
          <w:shd w:val="clear" w:color="auto" w:fill="FFFFFF"/>
          <w:lang w:val="vi-VN"/>
        </w:rPr>
        <w:t>2020</w:t>
      </w:r>
      <w:r w:rsidRPr="009B239D">
        <w:rPr>
          <w:shd w:val="clear" w:color="auto" w:fill="FFFFFF"/>
          <w:lang w:val="nl-NL"/>
        </w:rPr>
        <w:t xml:space="preserve"> của Sở Tư pháp </w:t>
      </w:r>
      <w:r w:rsidRPr="001876BF">
        <w:rPr>
          <w:shd w:val="clear" w:color="auto" w:fill="FFFFFF"/>
          <w:lang w:val="vi-VN"/>
        </w:rPr>
        <w:t xml:space="preserve">và ý kiến </w:t>
      </w:r>
      <w:r w:rsidRPr="009B239D">
        <w:rPr>
          <w:shd w:val="clear" w:color="auto" w:fill="FFFFFF"/>
          <w:lang w:val="nl-NL"/>
        </w:rPr>
        <w:t>thảo luận</w:t>
      </w:r>
      <w:r w:rsidRPr="001876BF">
        <w:rPr>
          <w:shd w:val="clear" w:color="auto" w:fill="FFFFFF"/>
          <w:lang w:val="vi-VN"/>
        </w:rPr>
        <w:t xml:space="preserve"> của các đại biểu tại phiên họp thẩm tra</w:t>
      </w:r>
      <w:r w:rsidRPr="009B239D">
        <w:rPr>
          <w:shd w:val="clear" w:color="auto" w:fill="FFFFFF"/>
          <w:lang w:val="nl-NL"/>
        </w:rPr>
        <w:t>.</w:t>
      </w:r>
      <w:r w:rsidRPr="001876BF">
        <w:rPr>
          <w:shd w:val="clear" w:color="auto" w:fill="FFFFFF"/>
          <w:lang w:val="vi-VN"/>
        </w:rPr>
        <w:t xml:space="preserve"> Ban Kinh tế - Ngân sách thống nhất với các nội dung mà cơ quan trình đã báo cáo.</w:t>
      </w:r>
    </w:p>
    <w:p w:rsidR="003A0769" w:rsidRPr="001876BF" w:rsidRDefault="003A0769" w:rsidP="009266E1">
      <w:pPr>
        <w:spacing w:before="120" w:after="120" w:line="264" w:lineRule="auto"/>
        <w:ind w:firstLine="720"/>
        <w:jc w:val="both"/>
        <w:rPr>
          <w:b/>
          <w:lang w:val="vi-VN"/>
        </w:rPr>
      </w:pPr>
      <w:r w:rsidRPr="001876BF">
        <w:rPr>
          <w:b/>
          <w:lang w:val="vi-VN"/>
        </w:rPr>
        <w:t>II. Sự phù hợp của nội dung dự thảo</w:t>
      </w:r>
      <w:r w:rsidRPr="001876BF">
        <w:rPr>
          <w:lang w:val="vi-VN"/>
        </w:rPr>
        <w:t xml:space="preserve"> </w:t>
      </w:r>
      <w:r w:rsidRPr="001876BF">
        <w:rPr>
          <w:b/>
          <w:lang w:val="vi-VN"/>
        </w:rPr>
        <w:t>Nghị quyết với đường lối, chủ trương của Đảng, chính sách của Nhà nước; tình hình, điều kiện phát triển kinh tế - xã hội của địa phương</w:t>
      </w:r>
    </w:p>
    <w:p w:rsidR="003A0769" w:rsidRPr="001876BF" w:rsidRDefault="003A0769" w:rsidP="009266E1">
      <w:pPr>
        <w:spacing w:before="120" w:after="120" w:line="264" w:lineRule="auto"/>
        <w:ind w:firstLine="720"/>
        <w:jc w:val="both"/>
        <w:rPr>
          <w:shd w:val="clear" w:color="auto" w:fill="FFFFFF"/>
          <w:lang w:val="vi-VN"/>
        </w:rPr>
      </w:pPr>
      <w:r w:rsidRPr="001876BF">
        <w:rPr>
          <w:lang w:val="vi-VN"/>
        </w:rPr>
        <w:t xml:space="preserve">Nội dung </w:t>
      </w:r>
      <w:r w:rsidRPr="001876BF">
        <w:rPr>
          <w:shd w:val="clear" w:color="auto" w:fill="FFFFFF"/>
          <w:lang w:val="vi-VN"/>
        </w:rPr>
        <w:t xml:space="preserve">dự thảo Nghị quyết </w:t>
      </w:r>
      <w:r w:rsidRPr="001876BF">
        <w:rPr>
          <w:lang w:val="vi-VN"/>
        </w:rPr>
        <w:t>phù hợp với đường lối, chủ trương của Đảng, chính sách của Nhà nước.</w:t>
      </w:r>
      <w:r w:rsidRPr="001876BF">
        <w:rPr>
          <w:shd w:val="clear" w:color="auto" w:fill="FFFFFF"/>
          <w:lang w:val="vi-VN"/>
        </w:rPr>
        <w:t xml:space="preserve"> </w:t>
      </w:r>
      <w:r w:rsidRPr="001876BF">
        <w:rPr>
          <w:lang w:val="vi-VN"/>
        </w:rPr>
        <w:t xml:space="preserve">Việc Ủy ban nhân dân tỉnh </w:t>
      </w:r>
      <w:r>
        <w:rPr>
          <w:spacing w:val="2"/>
          <w:lang w:val="nl-NL"/>
        </w:rPr>
        <w:t xml:space="preserve">trình </w:t>
      </w:r>
      <w:r w:rsidRPr="001876BF">
        <w:rPr>
          <w:lang w:val="vi-VN"/>
        </w:rPr>
        <w:t xml:space="preserve">Hội đồng nhân dân tỉnh </w:t>
      </w:r>
      <w:r>
        <w:rPr>
          <w:spacing w:val="2"/>
          <w:lang w:val="nl-NL"/>
        </w:rPr>
        <w:t xml:space="preserve">ban hành Nghị quyết </w:t>
      </w:r>
      <w:r>
        <w:rPr>
          <w:lang w:val="nl-NL"/>
        </w:rPr>
        <w:t xml:space="preserve">này </w:t>
      </w:r>
      <w:r>
        <w:rPr>
          <w:spacing w:val="2"/>
          <w:lang w:val="nl-NL"/>
        </w:rPr>
        <w:t>là cần thiết, đúng quy định pháp luật</w:t>
      </w:r>
      <w:r w:rsidRPr="001876BF">
        <w:rPr>
          <w:lang w:val="vi-VN"/>
        </w:rPr>
        <w:t>.</w:t>
      </w:r>
    </w:p>
    <w:p w:rsidR="003A0769" w:rsidRPr="001876BF" w:rsidRDefault="003A0769" w:rsidP="009266E1">
      <w:pPr>
        <w:spacing w:before="120" w:after="120" w:line="264" w:lineRule="auto"/>
        <w:ind w:firstLine="720"/>
        <w:jc w:val="both"/>
        <w:rPr>
          <w:b/>
          <w:lang w:val="vi-VN"/>
        </w:rPr>
      </w:pPr>
      <w:r w:rsidRPr="001876BF">
        <w:rPr>
          <w:b/>
          <w:lang w:val="vi-VN"/>
        </w:rPr>
        <w:t xml:space="preserve">III. Tính hợp hiến, hợp pháp và tính thống nhất của dự thảo Nghị quyết với hệ thống pháp luật </w:t>
      </w:r>
    </w:p>
    <w:p w:rsidR="003A0769" w:rsidRPr="001876BF" w:rsidRDefault="003A0769" w:rsidP="009266E1">
      <w:pPr>
        <w:spacing w:before="120" w:after="120" w:line="264" w:lineRule="auto"/>
        <w:ind w:firstLine="720"/>
        <w:jc w:val="both"/>
        <w:rPr>
          <w:i/>
          <w:lang w:val="vi-VN"/>
        </w:rPr>
      </w:pPr>
      <w:r>
        <w:rPr>
          <w:lang w:val="de-DE"/>
        </w:rPr>
        <w:t>Dự thảo Nghị quyết đảm bảo tính hợp Hiến, hợp Pháp và tính thống nhất trong hệ thống pháp luật; đảm bảo phù hợp với các văn bản quy phạm pháp luật có giá trị pháp lý cao hơn.</w:t>
      </w:r>
    </w:p>
    <w:p w:rsidR="003A0769" w:rsidRPr="00767681" w:rsidRDefault="003A0769" w:rsidP="009266E1">
      <w:pPr>
        <w:spacing w:before="120" w:after="120" w:line="264" w:lineRule="auto"/>
        <w:ind w:firstLine="720"/>
        <w:jc w:val="both"/>
        <w:rPr>
          <w:b/>
          <w:lang w:val="de-DE"/>
        </w:rPr>
      </w:pPr>
      <w:r w:rsidRPr="00767681">
        <w:rPr>
          <w:b/>
          <w:lang w:val="de-DE"/>
        </w:rPr>
        <w:t xml:space="preserve">IV. </w:t>
      </w:r>
      <w:r w:rsidRPr="001876BF">
        <w:rPr>
          <w:b/>
          <w:lang w:val="vi-VN"/>
        </w:rPr>
        <w:t>Kiến nghị, đề xuất</w:t>
      </w:r>
      <w:r w:rsidRPr="00767681">
        <w:rPr>
          <w:b/>
          <w:lang w:val="de-DE"/>
        </w:rPr>
        <w:t xml:space="preserve"> </w:t>
      </w:r>
    </w:p>
    <w:p w:rsidR="004102DA" w:rsidRPr="003D03EA" w:rsidRDefault="003A0769" w:rsidP="009266E1">
      <w:pPr>
        <w:widowControl w:val="0"/>
        <w:autoSpaceDE w:val="0"/>
        <w:autoSpaceDN w:val="0"/>
        <w:adjustRightInd w:val="0"/>
        <w:spacing w:before="120" w:after="120" w:line="264" w:lineRule="auto"/>
        <w:ind w:firstLine="720"/>
        <w:jc w:val="both"/>
        <w:rPr>
          <w:lang w:val="de-DE"/>
        </w:rPr>
      </w:pPr>
      <w:r w:rsidRPr="00767681">
        <w:rPr>
          <w:lang w:val="de-DE"/>
        </w:rPr>
        <w:t xml:space="preserve">Trên cơ sở </w:t>
      </w:r>
      <w:r w:rsidRPr="001876BF">
        <w:rPr>
          <w:lang w:val="vi-VN"/>
        </w:rPr>
        <w:t xml:space="preserve">ý kiến thảo luận </w:t>
      </w:r>
      <w:r w:rsidRPr="00767681">
        <w:rPr>
          <w:lang w:val="de-DE"/>
        </w:rPr>
        <w:t>của các đại biểu tại phiên họp thẩm tra và các quy định của pháp luật có liên quan</w:t>
      </w:r>
      <w:r>
        <w:rPr>
          <w:lang w:val="de-DE"/>
        </w:rPr>
        <w:t>,</w:t>
      </w:r>
      <w:r w:rsidRPr="001876BF">
        <w:rPr>
          <w:lang w:val="vi-VN"/>
        </w:rPr>
        <w:t xml:space="preserve"> </w:t>
      </w:r>
      <w:r w:rsidR="004102DA" w:rsidRPr="003D03EA">
        <w:rPr>
          <w:szCs w:val="28"/>
          <w:lang w:val="vi-VN"/>
        </w:rPr>
        <w:t>B</w:t>
      </w:r>
      <w:r w:rsidR="004102DA" w:rsidRPr="003D03EA">
        <w:rPr>
          <w:spacing w:val="-2"/>
          <w:szCs w:val="28"/>
          <w:lang w:val="vi-VN"/>
        </w:rPr>
        <w:t>a</w:t>
      </w:r>
      <w:r w:rsidR="004102DA" w:rsidRPr="003D03EA">
        <w:rPr>
          <w:szCs w:val="28"/>
          <w:lang w:val="vi-VN"/>
        </w:rPr>
        <w:t>n</w:t>
      </w:r>
      <w:r w:rsidR="004102DA" w:rsidRPr="003D03EA">
        <w:rPr>
          <w:spacing w:val="2"/>
          <w:szCs w:val="28"/>
          <w:lang w:val="vi-VN"/>
        </w:rPr>
        <w:t xml:space="preserve"> </w:t>
      </w:r>
      <w:r w:rsidR="004102DA" w:rsidRPr="003D03EA">
        <w:rPr>
          <w:spacing w:val="-1"/>
          <w:szCs w:val="28"/>
          <w:lang w:val="vi-VN"/>
        </w:rPr>
        <w:t>K</w:t>
      </w:r>
      <w:r w:rsidR="004102DA" w:rsidRPr="003D03EA">
        <w:rPr>
          <w:spacing w:val="1"/>
          <w:szCs w:val="28"/>
          <w:lang w:val="vi-VN"/>
        </w:rPr>
        <w:t>i</w:t>
      </w:r>
      <w:r w:rsidR="004102DA" w:rsidRPr="003D03EA">
        <w:rPr>
          <w:spacing w:val="-1"/>
          <w:szCs w:val="28"/>
          <w:lang w:val="vi-VN"/>
        </w:rPr>
        <w:t>n</w:t>
      </w:r>
      <w:r w:rsidR="004102DA" w:rsidRPr="003D03EA">
        <w:rPr>
          <w:szCs w:val="28"/>
          <w:lang w:val="vi-VN"/>
        </w:rPr>
        <w:t>h</w:t>
      </w:r>
      <w:r w:rsidR="004102DA" w:rsidRPr="003D03EA">
        <w:rPr>
          <w:spacing w:val="4"/>
          <w:szCs w:val="28"/>
          <w:lang w:val="vi-VN"/>
        </w:rPr>
        <w:t xml:space="preserve"> </w:t>
      </w:r>
      <w:r w:rsidR="004102DA" w:rsidRPr="003D03EA">
        <w:rPr>
          <w:spacing w:val="3"/>
          <w:szCs w:val="28"/>
          <w:lang w:val="vi-VN"/>
        </w:rPr>
        <w:t>t</w:t>
      </w:r>
      <w:r w:rsidR="004102DA" w:rsidRPr="003D03EA">
        <w:rPr>
          <w:szCs w:val="28"/>
          <w:lang w:val="vi-VN"/>
        </w:rPr>
        <w:t>ế</w:t>
      </w:r>
      <w:r w:rsidR="004102DA" w:rsidRPr="003D03EA">
        <w:rPr>
          <w:spacing w:val="4"/>
          <w:szCs w:val="28"/>
          <w:lang w:val="vi-VN"/>
        </w:rPr>
        <w:t xml:space="preserve"> </w:t>
      </w:r>
      <w:r w:rsidR="004102DA" w:rsidRPr="003D03EA">
        <w:rPr>
          <w:szCs w:val="28"/>
          <w:lang w:val="vi-VN"/>
        </w:rPr>
        <w:t>-</w:t>
      </w:r>
      <w:r w:rsidR="004102DA" w:rsidRPr="003D03EA">
        <w:rPr>
          <w:spacing w:val="3"/>
          <w:szCs w:val="28"/>
          <w:lang w:val="vi-VN"/>
        </w:rPr>
        <w:t xml:space="preserve"> </w:t>
      </w:r>
      <w:r w:rsidR="004102DA" w:rsidRPr="003D03EA">
        <w:rPr>
          <w:spacing w:val="-1"/>
          <w:szCs w:val="28"/>
          <w:lang w:val="vi-VN"/>
        </w:rPr>
        <w:t>N</w:t>
      </w:r>
      <w:r w:rsidR="004102DA" w:rsidRPr="003D03EA">
        <w:rPr>
          <w:spacing w:val="1"/>
          <w:szCs w:val="28"/>
          <w:lang w:val="vi-VN"/>
        </w:rPr>
        <w:t>g</w:t>
      </w:r>
      <w:r w:rsidR="004102DA" w:rsidRPr="003D03EA">
        <w:rPr>
          <w:spacing w:val="-2"/>
          <w:szCs w:val="28"/>
          <w:lang w:val="vi-VN"/>
        </w:rPr>
        <w:t>â</w:t>
      </w:r>
      <w:r w:rsidR="004102DA" w:rsidRPr="003D03EA">
        <w:rPr>
          <w:szCs w:val="28"/>
          <w:lang w:val="vi-VN"/>
        </w:rPr>
        <w:t>n</w:t>
      </w:r>
      <w:r w:rsidR="004102DA" w:rsidRPr="003D03EA">
        <w:rPr>
          <w:spacing w:val="2"/>
          <w:szCs w:val="28"/>
          <w:lang w:val="vi-VN"/>
        </w:rPr>
        <w:t xml:space="preserve"> </w:t>
      </w:r>
      <w:r w:rsidR="004102DA" w:rsidRPr="003D03EA">
        <w:rPr>
          <w:spacing w:val="1"/>
          <w:szCs w:val="28"/>
          <w:lang w:val="vi-VN"/>
        </w:rPr>
        <w:t>s</w:t>
      </w:r>
      <w:r w:rsidR="004102DA" w:rsidRPr="003D03EA">
        <w:rPr>
          <w:szCs w:val="28"/>
          <w:lang w:val="vi-VN"/>
        </w:rPr>
        <w:t>á</w:t>
      </w:r>
      <w:r w:rsidR="004102DA" w:rsidRPr="003D03EA">
        <w:rPr>
          <w:spacing w:val="-2"/>
          <w:szCs w:val="28"/>
          <w:lang w:val="vi-VN"/>
        </w:rPr>
        <w:t>c</w:t>
      </w:r>
      <w:r w:rsidR="004102DA" w:rsidRPr="003D03EA">
        <w:rPr>
          <w:szCs w:val="28"/>
          <w:lang w:val="vi-VN"/>
        </w:rPr>
        <w:t>h</w:t>
      </w:r>
      <w:r w:rsidR="004102DA" w:rsidRPr="003D03EA">
        <w:rPr>
          <w:spacing w:val="2"/>
          <w:szCs w:val="28"/>
          <w:lang w:val="vi-VN"/>
        </w:rPr>
        <w:t xml:space="preserve"> </w:t>
      </w:r>
      <w:r w:rsidR="004102DA" w:rsidRPr="003D03EA">
        <w:rPr>
          <w:szCs w:val="28"/>
          <w:lang w:val="vi-VN"/>
        </w:rPr>
        <w:t>cơ</w:t>
      </w:r>
      <w:r w:rsidR="004102DA" w:rsidRPr="003D03EA">
        <w:rPr>
          <w:spacing w:val="3"/>
          <w:szCs w:val="28"/>
          <w:lang w:val="vi-VN"/>
        </w:rPr>
        <w:t xml:space="preserve"> </w:t>
      </w:r>
      <w:r w:rsidR="004102DA" w:rsidRPr="003D03EA">
        <w:rPr>
          <w:spacing w:val="4"/>
          <w:szCs w:val="28"/>
          <w:lang w:val="vi-VN"/>
        </w:rPr>
        <w:t>b</w:t>
      </w:r>
      <w:r w:rsidR="004102DA" w:rsidRPr="003D03EA">
        <w:rPr>
          <w:spacing w:val="-2"/>
          <w:szCs w:val="28"/>
          <w:lang w:val="vi-VN"/>
        </w:rPr>
        <w:t>ả</w:t>
      </w:r>
      <w:r w:rsidR="004102DA" w:rsidRPr="003D03EA">
        <w:rPr>
          <w:szCs w:val="28"/>
          <w:lang w:val="vi-VN"/>
        </w:rPr>
        <w:t>n</w:t>
      </w:r>
      <w:r w:rsidR="004102DA" w:rsidRPr="003D03EA">
        <w:rPr>
          <w:spacing w:val="2"/>
          <w:szCs w:val="28"/>
          <w:lang w:val="vi-VN"/>
        </w:rPr>
        <w:t xml:space="preserve"> </w:t>
      </w:r>
      <w:r w:rsidR="004102DA" w:rsidRPr="003D03EA">
        <w:rPr>
          <w:spacing w:val="1"/>
          <w:szCs w:val="28"/>
          <w:lang w:val="vi-VN"/>
        </w:rPr>
        <w:t>t</w:t>
      </w:r>
      <w:r w:rsidR="004102DA" w:rsidRPr="003D03EA">
        <w:rPr>
          <w:szCs w:val="28"/>
          <w:lang w:val="vi-VN"/>
        </w:rPr>
        <w:t>h</w:t>
      </w:r>
      <w:r w:rsidR="004102DA" w:rsidRPr="003D03EA">
        <w:rPr>
          <w:spacing w:val="-1"/>
          <w:szCs w:val="28"/>
          <w:lang w:val="vi-VN"/>
        </w:rPr>
        <w:t>ố</w:t>
      </w:r>
      <w:r w:rsidR="004102DA" w:rsidRPr="003D03EA">
        <w:rPr>
          <w:spacing w:val="1"/>
          <w:szCs w:val="28"/>
          <w:lang w:val="vi-VN"/>
        </w:rPr>
        <w:t>n</w:t>
      </w:r>
      <w:r w:rsidR="004102DA" w:rsidRPr="003D03EA">
        <w:rPr>
          <w:szCs w:val="28"/>
          <w:lang w:val="vi-VN"/>
        </w:rPr>
        <w:t>g</w:t>
      </w:r>
      <w:r w:rsidR="004102DA" w:rsidRPr="003D03EA">
        <w:rPr>
          <w:spacing w:val="2"/>
          <w:szCs w:val="28"/>
          <w:lang w:val="vi-VN"/>
        </w:rPr>
        <w:t xml:space="preserve"> </w:t>
      </w:r>
      <w:r w:rsidR="004102DA" w:rsidRPr="003D03EA">
        <w:rPr>
          <w:spacing w:val="-1"/>
          <w:szCs w:val="28"/>
          <w:lang w:val="vi-VN"/>
        </w:rPr>
        <w:t>n</w:t>
      </w:r>
      <w:r w:rsidR="004102DA" w:rsidRPr="003D03EA">
        <w:rPr>
          <w:spacing w:val="2"/>
          <w:szCs w:val="28"/>
          <w:lang w:val="vi-VN"/>
        </w:rPr>
        <w:t>h</w:t>
      </w:r>
      <w:r w:rsidR="004102DA" w:rsidRPr="003D03EA">
        <w:rPr>
          <w:spacing w:val="-2"/>
          <w:szCs w:val="28"/>
          <w:lang w:val="vi-VN"/>
        </w:rPr>
        <w:t>ấ</w:t>
      </w:r>
      <w:r w:rsidR="004102DA" w:rsidRPr="003D03EA">
        <w:rPr>
          <w:szCs w:val="28"/>
          <w:lang w:val="vi-VN"/>
        </w:rPr>
        <w:t xml:space="preserve">t </w:t>
      </w:r>
      <w:r w:rsidR="004102DA" w:rsidRPr="003D03EA">
        <w:rPr>
          <w:spacing w:val="1"/>
          <w:szCs w:val="28"/>
          <w:lang w:val="vi-VN"/>
        </w:rPr>
        <w:t>v</w:t>
      </w:r>
      <w:r w:rsidR="004102DA" w:rsidRPr="003D03EA">
        <w:rPr>
          <w:spacing w:val="-2"/>
          <w:szCs w:val="28"/>
          <w:lang w:val="vi-VN"/>
        </w:rPr>
        <w:t>ớ</w:t>
      </w:r>
      <w:r w:rsidR="004102DA" w:rsidRPr="003D03EA">
        <w:rPr>
          <w:szCs w:val="28"/>
          <w:lang w:val="vi-VN"/>
        </w:rPr>
        <w:t>i</w:t>
      </w:r>
      <w:r w:rsidR="004102DA" w:rsidRPr="003D03EA">
        <w:rPr>
          <w:spacing w:val="5"/>
          <w:szCs w:val="28"/>
          <w:lang w:val="vi-VN"/>
        </w:rPr>
        <w:t xml:space="preserve"> </w:t>
      </w:r>
      <w:r w:rsidR="004102DA" w:rsidRPr="003D03EA">
        <w:rPr>
          <w:szCs w:val="28"/>
          <w:lang w:val="vi-VN"/>
        </w:rPr>
        <w:t>các</w:t>
      </w:r>
      <w:r w:rsidR="004102DA" w:rsidRPr="003D03EA">
        <w:rPr>
          <w:spacing w:val="1"/>
          <w:szCs w:val="28"/>
          <w:lang w:val="vi-VN"/>
        </w:rPr>
        <w:t xml:space="preserve"> </w:t>
      </w:r>
      <w:r w:rsidR="004102DA" w:rsidRPr="003D03EA">
        <w:rPr>
          <w:spacing w:val="2"/>
          <w:szCs w:val="28"/>
          <w:lang w:val="vi-VN"/>
        </w:rPr>
        <w:t>n</w:t>
      </w:r>
      <w:r w:rsidR="004102DA" w:rsidRPr="003D03EA">
        <w:rPr>
          <w:spacing w:val="-1"/>
          <w:szCs w:val="28"/>
          <w:lang w:val="vi-VN"/>
        </w:rPr>
        <w:t>ộ</w:t>
      </w:r>
      <w:r w:rsidR="004102DA" w:rsidRPr="003D03EA">
        <w:rPr>
          <w:szCs w:val="28"/>
          <w:lang w:val="vi-VN"/>
        </w:rPr>
        <w:t>i</w:t>
      </w:r>
      <w:r w:rsidR="004102DA" w:rsidRPr="003D03EA">
        <w:rPr>
          <w:spacing w:val="2"/>
          <w:szCs w:val="28"/>
          <w:lang w:val="vi-VN"/>
        </w:rPr>
        <w:t xml:space="preserve"> </w:t>
      </w:r>
      <w:r w:rsidR="004102DA" w:rsidRPr="003D03EA">
        <w:rPr>
          <w:spacing w:val="1"/>
          <w:szCs w:val="28"/>
          <w:lang w:val="vi-VN"/>
        </w:rPr>
        <w:t>d</w:t>
      </w:r>
      <w:r w:rsidR="004102DA" w:rsidRPr="003D03EA">
        <w:rPr>
          <w:spacing w:val="-1"/>
          <w:szCs w:val="28"/>
          <w:lang w:val="vi-VN"/>
        </w:rPr>
        <w:t>un</w:t>
      </w:r>
      <w:r w:rsidR="004102DA" w:rsidRPr="003D03EA">
        <w:rPr>
          <w:szCs w:val="28"/>
          <w:lang w:val="vi-VN"/>
        </w:rPr>
        <w:t>g</w:t>
      </w:r>
      <w:r w:rsidR="004102DA" w:rsidRPr="003D03EA">
        <w:rPr>
          <w:spacing w:val="5"/>
          <w:szCs w:val="28"/>
          <w:lang w:val="vi-VN"/>
        </w:rPr>
        <w:t xml:space="preserve"> </w:t>
      </w:r>
      <w:r w:rsidR="004102DA" w:rsidRPr="003D03EA">
        <w:rPr>
          <w:spacing w:val="3"/>
          <w:szCs w:val="28"/>
          <w:lang w:val="vi-VN"/>
        </w:rPr>
        <w:t>d</w:t>
      </w:r>
      <w:r w:rsidR="004102DA" w:rsidRPr="003D03EA">
        <w:rPr>
          <w:szCs w:val="28"/>
          <w:lang w:val="vi-VN"/>
        </w:rPr>
        <w:t xml:space="preserve">ự </w:t>
      </w:r>
      <w:r w:rsidR="004102DA" w:rsidRPr="003D03EA">
        <w:rPr>
          <w:spacing w:val="-1"/>
          <w:szCs w:val="28"/>
          <w:lang w:val="vi-VN"/>
        </w:rPr>
        <w:t>t</w:t>
      </w:r>
      <w:r w:rsidR="004102DA" w:rsidRPr="003D03EA">
        <w:rPr>
          <w:spacing w:val="1"/>
          <w:szCs w:val="28"/>
          <w:lang w:val="vi-VN"/>
        </w:rPr>
        <w:t>h</w:t>
      </w:r>
      <w:r w:rsidR="004102DA" w:rsidRPr="003D03EA">
        <w:rPr>
          <w:spacing w:val="-2"/>
          <w:szCs w:val="28"/>
          <w:lang w:val="vi-VN"/>
        </w:rPr>
        <w:t>ả</w:t>
      </w:r>
      <w:r w:rsidR="004102DA" w:rsidRPr="003D03EA">
        <w:rPr>
          <w:szCs w:val="28"/>
          <w:lang w:val="vi-VN"/>
        </w:rPr>
        <w:t>o</w:t>
      </w:r>
      <w:r w:rsidR="004102DA" w:rsidRPr="003D03EA">
        <w:rPr>
          <w:spacing w:val="5"/>
          <w:szCs w:val="28"/>
          <w:lang w:val="vi-VN"/>
        </w:rPr>
        <w:t xml:space="preserve"> </w:t>
      </w:r>
      <w:r w:rsidR="004102DA" w:rsidRPr="003D03EA">
        <w:rPr>
          <w:spacing w:val="-1"/>
          <w:szCs w:val="28"/>
          <w:lang w:val="vi-VN"/>
        </w:rPr>
        <w:t>Ng</w:t>
      </w:r>
      <w:r w:rsidR="004102DA" w:rsidRPr="003D03EA">
        <w:rPr>
          <w:spacing w:val="2"/>
          <w:szCs w:val="28"/>
          <w:lang w:val="vi-VN"/>
        </w:rPr>
        <w:t>h</w:t>
      </w:r>
      <w:r w:rsidR="004102DA" w:rsidRPr="003D03EA">
        <w:rPr>
          <w:szCs w:val="28"/>
          <w:lang w:val="vi-VN"/>
        </w:rPr>
        <w:t>ị</w:t>
      </w:r>
      <w:r w:rsidR="004102DA" w:rsidRPr="003D03EA">
        <w:rPr>
          <w:spacing w:val="3"/>
          <w:szCs w:val="28"/>
          <w:lang w:val="vi-VN"/>
        </w:rPr>
        <w:t xml:space="preserve"> </w:t>
      </w:r>
      <w:r w:rsidR="004102DA" w:rsidRPr="003D03EA">
        <w:rPr>
          <w:spacing w:val="1"/>
          <w:szCs w:val="28"/>
          <w:lang w:val="vi-VN"/>
        </w:rPr>
        <w:t>qu</w:t>
      </w:r>
      <w:r w:rsidR="004102DA" w:rsidRPr="003D03EA">
        <w:rPr>
          <w:spacing w:val="-4"/>
          <w:szCs w:val="28"/>
          <w:lang w:val="vi-VN"/>
        </w:rPr>
        <w:t>y</w:t>
      </w:r>
      <w:r w:rsidR="004102DA" w:rsidRPr="003D03EA">
        <w:rPr>
          <w:szCs w:val="28"/>
          <w:lang w:val="vi-VN"/>
        </w:rPr>
        <w:t>ế</w:t>
      </w:r>
      <w:r w:rsidR="004102DA" w:rsidRPr="003D03EA">
        <w:rPr>
          <w:spacing w:val="1"/>
          <w:szCs w:val="28"/>
          <w:lang w:val="vi-VN"/>
        </w:rPr>
        <w:t>t</w:t>
      </w:r>
      <w:r w:rsidR="004102DA" w:rsidRPr="001876BF">
        <w:rPr>
          <w:szCs w:val="28"/>
          <w:lang w:val="vi-VN"/>
        </w:rPr>
        <w:t xml:space="preserve">; </w:t>
      </w:r>
      <w:r w:rsidR="004102DA" w:rsidRPr="003D03EA">
        <w:rPr>
          <w:lang w:val="de-DE"/>
        </w:rPr>
        <w:t xml:space="preserve">đồng thời đề nghị </w:t>
      </w:r>
      <w:r w:rsidR="004102DA" w:rsidRPr="001876BF">
        <w:rPr>
          <w:lang w:val="vi-VN"/>
        </w:rPr>
        <w:t xml:space="preserve">Ủy ban nhân dân tỉnh </w:t>
      </w:r>
      <w:r w:rsidR="004102DA" w:rsidRPr="003D03EA">
        <w:rPr>
          <w:lang w:val="de-DE"/>
        </w:rPr>
        <w:t xml:space="preserve">giải trình, </w:t>
      </w:r>
      <w:r w:rsidR="004102DA" w:rsidRPr="001876BF">
        <w:rPr>
          <w:lang w:val="vi-VN"/>
        </w:rPr>
        <w:t xml:space="preserve">tiếp thu bổ sung </w:t>
      </w:r>
      <w:r w:rsidR="004102DA" w:rsidRPr="003D03EA">
        <w:rPr>
          <w:lang w:val="de-DE"/>
        </w:rPr>
        <w:t>một số nội dung sau:</w:t>
      </w:r>
    </w:p>
    <w:p w:rsidR="004102DA" w:rsidRPr="001876BF" w:rsidRDefault="004102DA" w:rsidP="009266E1">
      <w:pPr>
        <w:spacing w:before="120" w:after="120" w:line="264" w:lineRule="auto"/>
        <w:ind w:firstLine="720"/>
        <w:jc w:val="both"/>
        <w:rPr>
          <w:spacing w:val="-2"/>
          <w:lang w:val="de-DE"/>
        </w:rPr>
      </w:pPr>
      <w:r w:rsidRPr="001876BF">
        <w:rPr>
          <w:spacing w:val="-2"/>
          <w:lang w:val="de-DE"/>
        </w:rPr>
        <w:t xml:space="preserve">- Biên tập lại khoản 1 Điều 1 là: </w:t>
      </w:r>
      <w:r w:rsidRPr="001876BF">
        <w:rPr>
          <w:rFonts w:cs=".VnTime"/>
          <w:lang w:val="de-DE"/>
        </w:rPr>
        <w:t>“</w:t>
      </w:r>
      <w:r w:rsidRPr="001876BF">
        <w:rPr>
          <w:rFonts w:eastAsia="Times New Roman"/>
          <w:i/>
          <w:szCs w:val="28"/>
          <w:lang w:val="de-DE" w:eastAsia="vi-VN"/>
        </w:rPr>
        <w:t xml:space="preserve">Mức chi sáng tác, dàn dựng, đạo diễn các màn đồng diễn: Thanh toán theo hợp đồng giữa Ban tổ chức với các tổ chức hoặc cá nhân, mức chi căn cứ </w:t>
      </w:r>
      <w:r w:rsidRPr="001876BF">
        <w:rPr>
          <w:rFonts w:eastAsia="Times New Roman"/>
          <w:bCs/>
          <w:i/>
          <w:iCs/>
          <w:szCs w:val="28"/>
          <w:lang w:val="de-DE" w:eastAsia="vi-VN"/>
        </w:rPr>
        <w:t>Nghị định số 21/2015/NĐ-CP ngày 14/02/2015 của Chính phủ quy định về nhuận bút, thù lao đối với việc sáng tạo, khai thác, sử dụng tác phẩm điện ảnh, mỹ thuật, nhiếp ảnh, sân khấu và các loại hình nghệ thuật biểu diễn khác</w:t>
      </w:r>
      <w:r w:rsidRPr="001876BF">
        <w:rPr>
          <w:rFonts w:eastAsia="Times New Roman"/>
          <w:bCs/>
          <w:iCs/>
          <w:szCs w:val="28"/>
          <w:lang w:val="de-DE" w:eastAsia="vi-VN"/>
        </w:rPr>
        <w:t>”.</w:t>
      </w:r>
    </w:p>
    <w:p w:rsidR="0032746B" w:rsidRPr="009266E1" w:rsidRDefault="004102DA" w:rsidP="009266E1">
      <w:pPr>
        <w:tabs>
          <w:tab w:val="right" w:leader="dot" w:pos="8640"/>
        </w:tabs>
        <w:spacing w:before="120" w:after="120" w:line="264" w:lineRule="auto"/>
        <w:ind w:firstLine="720"/>
        <w:jc w:val="both"/>
        <w:rPr>
          <w:szCs w:val="28"/>
          <w:lang w:val="nl-NL"/>
        </w:rPr>
      </w:pPr>
      <w:r w:rsidRPr="001876BF">
        <w:rPr>
          <w:color w:val="0000CC"/>
          <w:spacing w:val="-2"/>
          <w:lang w:val="de-DE"/>
        </w:rPr>
        <w:tab/>
      </w:r>
      <w:r w:rsidRPr="001876BF">
        <w:rPr>
          <w:spacing w:val="-2"/>
          <w:lang w:val="de-DE"/>
        </w:rPr>
        <w:t xml:space="preserve">- </w:t>
      </w:r>
      <w:r w:rsidR="009266E1" w:rsidRPr="001876BF">
        <w:rPr>
          <w:spacing w:val="-2"/>
          <w:lang w:val="de-DE"/>
        </w:rPr>
        <w:t xml:space="preserve">Thực hiện </w:t>
      </w:r>
      <w:r w:rsidR="009266E1" w:rsidRPr="009266E1">
        <w:rPr>
          <w:szCs w:val="28"/>
          <w:lang w:val="nl-NL"/>
        </w:rPr>
        <w:t>Nghị quyết 629/2019/UBTVQH14 ngày 30/01/2019 của Ủy ban Thường vụ Quốc hội hướng dẫn một số hoạt động của Hội đồng nhân dân. Đề nghị b</w:t>
      </w:r>
      <w:r w:rsidRPr="001876BF">
        <w:rPr>
          <w:spacing w:val="-2"/>
          <w:lang w:val="nl-NL"/>
        </w:rPr>
        <w:t xml:space="preserve">ổ sung </w:t>
      </w:r>
      <w:r w:rsidR="006D0849" w:rsidRPr="001876BF">
        <w:rPr>
          <w:spacing w:val="-2"/>
          <w:lang w:val="nl-NL"/>
        </w:rPr>
        <w:t xml:space="preserve">thêm </w:t>
      </w:r>
      <w:r w:rsidRPr="001876BF">
        <w:rPr>
          <w:spacing w:val="-2"/>
          <w:lang w:val="nl-NL"/>
        </w:rPr>
        <w:t>nội dung</w:t>
      </w:r>
      <w:r w:rsidR="001A2690" w:rsidRPr="001876BF">
        <w:rPr>
          <w:spacing w:val="-2"/>
          <w:lang w:val="nl-NL"/>
        </w:rPr>
        <w:t>: S</w:t>
      </w:r>
      <w:r w:rsidRPr="001876BF">
        <w:rPr>
          <w:spacing w:val="-2"/>
          <w:lang w:val="nl-NL"/>
        </w:rPr>
        <w:t xml:space="preserve">ửa đổi khoản 2 Điều 3 </w:t>
      </w:r>
      <w:r w:rsidRPr="001876BF">
        <w:rPr>
          <w:szCs w:val="28"/>
          <w:lang w:val="nl-NL"/>
        </w:rPr>
        <w:t xml:space="preserve">Quy định một số chế độ </w:t>
      </w:r>
      <w:r w:rsidRPr="001876BF">
        <w:rPr>
          <w:szCs w:val="28"/>
          <w:lang w:val="nl-NL"/>
        </w:rPr>
        <w:lastRenderedPageBreak/>
        <w:t>chi tiêu đảm bảo hoạt động của Hội đồng nhân dân các cấp</w:t>
      </w:r>
      <w:r w:rsidRPr="001876BF" w:rsidDel="002D334B">
        <w:rPr>
          <w:szCs w:val="28"/>
          <w:lang w:val="nl-NL"/>
        </w:rPr>
        <w:t xml:space="preserve"> </w:t>
      </w:r>
      <w:r w:rsidRPr="009266E1">
        <w:rPr>
          <w:szCs w:val="28"/>
          <w:lang w:val="nl-NL"/>
        </w:rPr>
        <w:t>trên địa bàn tỉnh Kon Tum ban hành kèm theo Nghị quyết số 13/2017/NQ-HĐND ngày 21</w:t>
      </w:r>
      <w:r w:rsidR="009266E1" w:rsidRPr="009266E1">
        <w:rPr>
          <w:szCs w:val="28"/>
          <w:lang w:val="nl-NL"/>
        </w:rPr>
        <w:t>/</w:t>
      </w:r>
      <w:r w:rsidRPr="009266E1">
        <w:rPr>
          <w:szCs w:val="28"/>
          <w:lang w:val="nl-NL"/>
        </w:rPr>
        <w:t>7</w:t>
      </w:r>
      <w:r w:rsidR="009266E1" w:rsidRPr="009266E1">
        <w:rPr>
          <w:szCs w:val="28"/>
          <w:lang w:val="nl-NL"/>
        </w:rPr>
        <w:t>/</w:t>
      </w:r>
      <w:r w:rsidRPr="009266E1">
        <w:rPr>
          <w:szCs w:val="28"/>
          <w:lang w:val="nl-NL"/>
        </w:rPr>
        <w:t>2017 của Hội đồng nhân dân tỉnh</w:t>
      </w:r>
      <w:r w:rsidR="006D0849" w:rsidRPr="009266E1">
        <w:rPr>
          <w:szCs w:val="28"/>
          <w:lang w:val="nl-NL"/>
        </w:rPr>
        <w:t>,</w:t>
      </w:r>
      <w:r w:rsidRPr="009266E1">
        <w:rPr>
          <w:szCs w:val="28"/>
          <w:lang w:val="nl-NL"/>
        </w:rPr>
        <w:t xml:space="preserve"> </w:t>
      </w:r>
      <w:r w:rsidR="009266E1" w:rsidRPr="009266E1">
        <w:rPr>
          <w:szCs w:val="28"/>
          <w:lang w:val="nl-NL"/>
        </w:rPr>
        <w:t xml:space="preserve">cụ thể </w:t>
      </w:r>
      <w:r w:rsidR="0032746B" w:rsidRPr="009266E1">
        <w:rPr>
          <w:szCs w:val="28"/>
          <w:lang w:val="nl-NL"/>
        </w:rPr>
        <w:t xml:space="preserve">như sau: </w:t>
      </w:r>
    </w:p>
    <w:p w:rsidR="00DE19EB" w:rsidRPr="001876BF" w:rsidRDefault="0032746B" w:rsidP="00DE19EB">
      <w:pPr>
        <w:tabs>
          <w:tab w:val="right" w:leader="dot" w:pos="8640"/>
        </w:tabs>
        <w:spacing w:before="120" w:after="120"/>
        <w:ind w:firstLine="720"/>
        <w:jc w:val="both"/>
        <w:rPr>
          <w:szCs w:val="28"/>
          <w:lang w:val="nl-NL"/>
        </w:rPr>
      </w:pPr>
      <w:r w:rsidRPr="001876BF">
        <w:rPr>
          <w:szCs w:val="28"/>
          <w:lang w:val="nl-NL"/>
        </w:rPr>
        <w:t>“</w:t>
      </w:r>
      <w:r w:rsidRPr="001876BF">
        <w:rPr>
          <w:i/>
          <w:szCs w:val="28"/>
          <w:lang w:val="nl-NL"/>
        </w:rPr>
        <w:t>2. Chi soạn thảo báo cáo thẩm tra các báo cáo, tờ trình... thuộc thẩm quyền của Thường trực Hội đồng nhân dân tỉnh</w:t>
      </w:r>
      <w:r w:rsidR="00DE19EB" w:rsidRPr="001876BF">
        <w:rPr>
          <w:i/>
          <w:szCs w:val="28"/>
          <w:lang w:val="nl-NL"/>
        </w:rPr>
        <w:t xml:space="preserve"> xem xét cho ý kiến, quyết định</w:t>
      </w:r>
      <w:r w:rsidRPr="001876BF">
        <w:rPr>
          <w:i/>
          <w:szCs w:val="28"/>
          <w:lang w:val="nl-NL"/>
        </w:rPr>
        <w:t>: 500.000 đồng/văn bản</w:t>
      </w:r>
      <w:r w:rsidRPr="001876BF">
        <w:rPr>
          <w:szCs w:val="28"/>
          <w:lang w:val="nl-NL"/>
        </w:rPr>
        <w:t>”.</w:t>
      </w:r>
    </w:p>
    <w:p w:rsidR="0032746B" w:rsidRPr="001876BF" w:rsidRDefault="0032746B" w:rsidP="00DE19EB">
      <w:pPr>
        <w:tabs>
          <w:tab w:val="right" w:leader="dot" w:pos="8640"/>
        </w:tabs>
        <w:spacing w:before="120" w:after="120"/>
        <w:ind w:firstLine="720"/>
        <w:jc w:val="both"/>
        <w:rPr>
          <w:szCs w:val="28"/>
          <w:lang w:val="nl-NL"/>
        </w:rPr>
      </w:pPr>
      <w:r w:rsidRPr="001876BF">
        <w:rPr>
          <w:spacing w:val="-2"/>
          <w:lang w:val="nl-NL"/>
        </w:rPr>
        <w:t>Về thể thức, kỹ thuật trình bày văn bản: Đề nghị cơ quan trình rà soát, thực hiện theo đúng quy định.</w:t>
      </w:r>
    </w:p>
    <w:p w:rsidR="003A0769" w:rsidRPr="001876BF" w:rsidRDefault="003A0769" w:rsidP="009266E1">
      <w:pPr>
        <w:shd w:val="clear" w:color="auto" w:fill="FFFFFF"/>
        <w:spacing w:before="120" w:after="120" w:line="264" w:lineRule="auto"/>
        <w:ind w:firstLine="720"/>
        <w:jc w:val="both"/>
        <w:rPr>
          <w:lang w:val="de-DE"/>
        </w:rPr>
      </w:pPr>
      <w:r w:rsidRPr="008428AA">
        <w:rPr>
          <w:lang w:val="de-DE"/>
        </w:rPr>
        <w:t>Trên đây là Báo cáo thẩm tra của Ban Kinh tế - Ngân sách</w:t>
      </w:r>
      <w:r w:rsidRPr="008428AA">
        <w:rPr>
          <w:bCs/>
          <w:lang w:val="de-DE"/>
        </w:rPr>
        <w:t>.</w:t>
      </w:r>
      <w:r w:rsidRPr="008428AA">
        <w:rPr>
          <w:lang w:val="de-DE"/>
        </w:rPr>
        <w:t xml:space="preserve"> </w:t>
      </w:r>
      <w:r w:rsidRPr="001876BF">
        <w:rPr>
          <w:lang w:val="de-DE"/>
        </w:rPr>
        <w:t>Kính trình Hội đồng nhân dân tỉnh Khóa XI</w:t>
      </w:r>
      <w:r w:rsidRPr="008428AA">
        <w:rPr>
          <w:lang w:val="de-DE"/>
        </w:rPr>
        <w:t>,</w:t>
      </w:r>
      <w:r w:rsidRPr="001876BF">
        <w:rPr>
          <w:lang w:val="de-DE"/>
        </w:rPr>
        <w:t xml:space="preserve"> Kỳ họp</w:t>
      </w:r>
      <w:r w:rsidRPr="008428AA">
        <w:rPr>
          <w:lang w:val="de-DE"/>
        </w:rPr>
        <w:t xml:space="preserve"> thứ </w:t>
      </w:r>
      <w:r>
        <w:rPr>
          <w:lang w:val="de-DE"/>
        </w:rPr>
        <w:t>10</w:t>
      </w:r>
      <w:r w:rsidRPr="008428AA">
        <w:rPr>
          <w:lang w:val="de-DE"/>
        </w:rPr>
        <w:t xml:space="preserve"> </w:t>
      </w:r>
      <w:r w:rsidRPr="001876BF">
        <w:rPr>
          <w:lang w:val="de-DE"/>
        </w:rPr>
        <w:t>xem xét, quyết định./.</w:t>
      </w:r>
    </w:p>
    <w:tbl>
      <w:tblPr>
        <w:tblW w:w="5000" w:type="pct"/>
        <w:tblLook w:val="01E0" w:firstRow="1" w:lastRow="1" w:firstColumn="1" w:lastColumn="1" w:noHBand="0" w:noVBand="0"/>
      </w:tblPr>
      <w:tblGrid>
        <w:gridCol w:w="4315"/>
        <w:gridCol w:w="4973"/>
      </w:tblGrid>
      <w:tr w:rsidR="003A0769" w:rsidRPr="008428AA" w:rsidTr="008752D6">
        <w:tc>
          <w:tcPr>
            <w:tcW w:w="2323" w:type="pct"/>
          </w:tcPr>
          <w:p w:rsidR="003A0769" w:rsidRPr="001876BF" w:rsidRDefault="003A0769" w:rsidP="008752D6">
            <w:pPr>
              <w:rPr>
                <w:b/>
                <w:i/>
                <w:sz w:val="24"/>
                <w:lang w:val="de-DE"/>
              </w:rPr>
            </w:pPr>
            <w:r w:rsidRPr="001876BF">
              <w:rPr>
                <w:b/>
                <w:i/>
                <w:sz w:val="24"/>
                <w:lang w:val="de-DE"/>
              </w:rPr>
              <w:t>Nơi nhận:</w:t>
            </w:r>
          </w:p>
          <w:p w:rsidR="003A0769" w:rsidRPr="001876BF" w:rsidRDefault="003A0769" w:rsidP="008752D6">
            <w:pPr>
              <w:rPr>
                <w:sz w:val="22"/>
                <w:lang w:val="de-DE"/>
              </w:rPr>
            </w:pPr>
            <w:r w:rsidRPr="001876BF">
              <w:rPr>
                <w:sz w:val="22"/>
                <w:lang w:val="de-DE"/>
              </w:rPr>
              <w:t>- Thường trực HĐND tỉnh;</w:t>
            </w:r>
          </w:p>
          <w:p w:rsidR="003A0769" w:rsidRPr="001876BF" w:rsidRDefault="003A0769" w:rsidP="008752D6">
            <w:pPr>
              <w:rPr>
                <w:sz w:val="22"/>
                <w:lang w:val="de-DE"/>
              </w:rPr>
            </w:pPr>
            <w:r w:rsidRPr="001876BF">
              <w:rPr>
                <w:sz w:val="22"/>
                <w:lang w:val="de-DE"/>
              </w:rPr>
              <w:t xml:space="preserve">- UBND tỉnh; </w:t>
            </w:r>
            <w:r w:rsidRPr="001876BF">
              <w:rPr>
                <w:sz w:val="22"/>
                <w:lang w:val="de-DE"/>
              </w:rPr>
              <w:tab/>
            </w:r>
          </w:p>
          <w:p w:rsidR="003A0769" w:rsidRPr="001876BF" w:rsidRDefault="003A0769" w:rsidP="008752D6">
            <w:pPr>
              <w:rPr>
                <w:sz w:val="22"/>
                <w:lang w:val="de-DE"/>
              </w:rPr>
            </w:pPr>
            <w:r w:rsidRPr="001876BF">
              <w:rPr>
                <w:sz w:val="22"/>
                <w:lang w:val="de-DE"/>
              </w:rPr>
              <w:t>- Đại biểu HĐND tỉnh;</w:t>
            </w:r>
          </w:p>
          <w:p w:rsidR="003A0769" w:rsidRPr="008428AA" w:rsidRDefault="003A0769" w:rsidP="008752D6">
            <w:r w:rsidRPr="008428AA">
              <w:rPr>
                <w:sz w:val="22"/>
              </w:rPr>
              <w:t xml:space="preserve">- Lưu: VT, </w:t>
            </w:r>
            <w:r>
              <w:rPr>
                <w:sz w:val="22"/>
              </w:rPr>
              <w:t xml:space="preserve">CV Ban </w:t>
            </w:r>
            <w:r w:rsidRPr="008428AA">
              <w:rPr>
                <w:sz w:val="22"/>
              </w:rPr>
              <w:t>KT-</w:t>
            </w:r>
            <w:proofErr w:type="gramStart"/>
            <w:r w:rsidRPr="008428AA">
              <w:rPr>
                <w:sz w:val="22"/>
              </w:rPr>
              <w:t>NS</w:t>
            </w:r>
            <w:r w:rsidRPr="008428AA">
              <w:rPr>
                <w:sz w:val="18"/>
                <w:vertAlign w:val="subscript"/>
              </w:rPr>
              <w:t>(</w:t>
            </w:r>
            <w:proofErr w:type="gramEnd"/>
            <w:r>
              <w:rPr>
                <w:sz w:val="18"/>
                <w:vertAlign w:val="subscript"/>
              </w:rPr>
              <w:t>Tr.</w:t>
            </w:r>
            <w:r w:rsidRPr="008428AA">
              <w:rPr>
                <w:sz w:val="18"/>
                <w:vertAlign w:val="subscript"/>
              </w:rPr>
              <w:t>A)</w:t>
            </w:r>
            <w:r w:rsidRPr="008428AA">
              <w:rPr>
                <w:sz w:val="14"/>
              </w:rPr>
              <w:t>.</w:t>
            </w:r>
          </w:p>
        </w:tc>
        <w:tc>
          <w:tcPr>
            <w:tcW w:w="2677" w:type="pct"/>
          </w:tcPr>
          <w:p w:rsidR="003A0769" w:rsidRPr="008428AA" w:rsidRDefault="003A0769" w:rsidP="008752D6">
            <w:pPr>
              <w:jc w:val="center"/>
              <w:rPr>
                <w:b/>
              </w:rPr>
            </w:pPr>
            <w:r w:rsidRPr="008428AA">
              <w:rPr>
                <w:b/>
              </w:rPr>
              <w:t>TM. BAN KINH TẾ - NGÂN SÁCH</w:t>
            </w:r>
          </w:p>
          <w:p w:rsidR="003A0769" w:rsidRPr="008428AA" w:rsidRDefault="003A0769" w:rsidP="008752D6">
            <w:pPr>
              <w:jc w:val="center"/>
              <w:rPr>
                <w:b/>
              </w:rPr>
            </w:pPr>
            <w:r w:rsidRPr="008428AA">
              <w:rPr>
                <w:b/>
              </w:rPr>
              <w:t>TRƯỞNG BAN</w:t>
            </w:r>
          </w:p>
          <w:p w:rsidR="003A0769" w:rsidRPr="008428AA" w:rsidRDefault="001876BF" w:rsidP="008752D6">
            <w:pPr>
              <w:jc w:val="center"/>
              <w:rPr>
                <w:b/>
              </w:rPr>
            </w:pPr>
            <w:r>
              <w:rPr>
                <w:b/>
              </w:rPr>
              <w:t>Đã ký</w:t>
            </w:r>
            <w:bookmarkStart w:id="1" w:name="_GoBack"/>
            <w:bookmarkEnd w:id="1"/>
          </w:p>
          <w:p w:rsidR="003A0769" w:rsidRPr="008428AA" w:rsidRDefault="003A0769" w:rsidP="008752D6">
            <w:pPr>
              <w:jc w:val="center"/>
              <w:rPr>
                <w:b/>
              </w:rPr>
            </w:pPr>
            <w:r w:rsidRPr="008428AA">
              <w:rPr>
                <w:b/>
              </w:rPr>
              <w:t>Hồ Văn Đà</w:t>
            </w:r>
          </w:p>
        </w:tc>
      </w:tr>
    </w:tbl>
    <w:p w:rsidR="003A0769" w:rsidRDefault="003A0769" w:rsidP="003A0769">
      <w:pPr>
        <w:spacing w:before="120"/>
        <w:rPr>
          <w:lang w:val="de-DE"/>
        </w:rPr>
      </w:pPr>
    </w:p>
    <w:p w:rsidR="003A0769" w:rsidRDefault="003A0769" w:rsidP="003A0769"/>
    <w:p w:rsidR="009747FC" w:rsidRDefault="009747FC"/>
    <w:sectPr w:rsidR="009747FC" w:rsidSect="008752D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61" w:rsidRDefault="00212D61" w:rsidP="003A0769">
      <w:r>
        <w:separator/>
      </w:r>
    </w:p>
  </w:endnote>
  <w:endnote w:type="continuationSeparator" w:id="0">
    <w:p w:rsidR="00212D61" w:rsidRDefault="00212D61" w:rsidP="003A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875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875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875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61" w:rsidRDefault="00212D61" w:rsidP="003A0769">
      <w:r>
        <w:separator/>
      </w:r>
    </w:p>
  </w:footnote>
  <w:footnote w:type="continuationSeparator" w:id="0">
    <w:p w:rsidR="00212D61" w:rsidRDefault="00212D61" w:rsidP="003A0769">
      <w:r>
        <w:continuationSeparator/>
      </w:r>
    </w:p>
  </w:footnote>
  <w:footnote w:id="1">
    <w:p w:rsidR="00CE0085" w:rsidRPr="00CE0085" w:rsidRDefault="00CE0085" w:rsidP="00077484">
      <w:pPr>
        <w:pStyle w:val="FootnoteText"/>
        <w:spacing w:before="0"/>
        <w:rPr>
          <w:lang w:val="vi-VN"/>
        </w:rPr>
      </w:pPr>
      <w:r>
        <w:rPr>
          <w:rStyle w:val="FootnoteReference"/>
        </w:rPr>
        <w:footnoteRef/>
      </w:r>
      <w:r>
        <w:t xml:space="preserve"> </w:t>
      </w:r>
      <w:r w:rsidRPr="00CE0085">
        <w:t>Báo cáo tư vấn thẩm định số 01/HĐTVTĐ ngày 15 tháng 6 năm 2020 của Hội đồng tư vấn thẩm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87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A91CDE">
    <w:pPr>
      <w:pStyle w:val="Header"/>
      <w:jc w:val="center"/>
    </w:pPr>
    <w:r>
      <w:fldChar w:fldCharType="begin"/>
    </w:r>
    <w:r>
      <w:instrText xml:space="preserve"> PAGE   \* MERGEFORMAT </w:instrText>
    </w:r>
    <w:r>
      <w:fldChar w:fldCharType="separate"/>
    </w:r>
    <w:r w:rsidR="001876BF">
      <w:rPr>
        <w:noProof/>
      </w:rPr>
      <w:t>4</w:t>
    </w:r>
    <w:r>
      <w:rPr>
        <w:noProof/>
      </w:rPr>
      <w:fldChar w:fldCharType="end"/>
    </w:r>
  </w:p>
  <w:p w:rsidR="008752D6" w:rsidRDefault="00875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875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69"/>
    <w:rsid w:val="00045BF8"/>
    <w:rsid w:val="00077484"/>
    <w:rsid w:val="00125E44"/>
    <w:rsid w:val="001876BF"/>
    <w:rsid w:val="00197F79"/>
    <w:rsid w:val="001A2690"/>
    <w:rsid w:val="001E700A"/>
    <w:rsid w:val="00212D61"/>
    <w:rsid w:val="002B60CB"/>
    <w:rsid w:val="0032746B"/>
    <w:rsid w:val="003A0769"/>
    <w:rsid w:val="003E1C44"/>
    <w:rsid w:val="003F4848"/>
    <w:rsid w:val="004102DA"/>
    <w:rsid w:val="00410D70"/>
    <w:rsid w:val="005A2AED"/>
    <w:rsid w:val="00655F98"/>
    <w:rsid w:val="006C4177"/>
    <w:rsid w:val="006D0849"/>
    <w:rsid w:val="00752E0A"/>
    <w:rsid w:val="008752D6"/>
    <w:rsid w:val="008D6767"/>
    <w:rsid w:val="009266E1"/>
    <w:rsid w:val="009747FC"/>
    <w:rsid w:val="00A22D11"/>
    <w:rsid w:val="00A42591"/>
    <w:rsid w:val="00A91CDE"/>
    <w:rsid w:val="00B764EB"/>
    <w:rsid w:val="00BD4517"/>
    <w:rsid w:val="00C64CB6"/>
    <w:rsid w:val="00CC306D"/>
    <w:rsid w:val="00CE0085"/>
    <w:rsid w:val="00CE69D9"/>
    <w:rsid w:val="00D10D96"/>
    <w:rsid w:val="00D64EAF"/>
    <w:rsid w:val="00DC0606"/>
    <w:rsid w:val="00DE19EB"/>
    <w:rsid w:val="00E51F1F"/>
    <w:rsid w:val="00FB1C72"/>
    <w:rsid w:val="00FD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69"/>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0769"/>
    <w:pPr>
      <w:spacing w:before="120"/>
    </w:pPr>
    <w:rPr>
      <w:sz w:val="20"/>
    </w:rPr>
  </w:style>
  <w:style w:type="character" w:customStyle="1" w:styleId="FootnoteTextChar">
    <w:name w:val="Footnote Text Char"/>
    <w:link w:val="FootnoteText"/>
    <w:uiPriority w:val="99"/>
    <w:semiHidden/>
    <w:rsid w:val="003A0769"/>
    <w:rPr>
      <w:rFonts w:eastAsia="Calibri" w:cs="Times New Roman"/>
      <w:sz w:val="20"/>
      <w:szCs w:val="20"/>
    </w:rPr>
  </w:style>
  <w:style w:type="character" w:styleId="FootnoteReference">
    <w:name w:val="footnote reference"/>
    <w:uiPriority w:val="99"/>
    <w:semiHidden/>
    <w:unhideWhenUsed/>
    <w:rsid w:val="003A0769"/>
    <w:rPr>
      <w:vertAlign w:val="superscript"/>
    </w:rPr>
  </w:style>
  <w:style w:type="paragraph" w:styleId="Header">
    <w:name w:val="header"/>
    <w:basedOn w:val="Normal"/>
    <w:link w:val="HeaderChar"/>
    <w:uiPriority w:val="99"/>
    <w:unhideWhenUsed/>
    <w:rsid w:val="003A0769"/>
    <w:pPr>
      <w:tabs>
        <w:tab w:val="center" w:pos="4680"/>
        <w:tab w:val="right" w:pos="9360"/>
      </w:tabs>
    </w:pPr>
  </w:style>
  <w:style w:type="character" w:customStyle="1" w:styleId="HeaderChar">
    <w:name w:val="Header Char"/>
    <w:link w:val="Header"/>
    <w:uiPriority w:val="99"/>
    <w:rsid w:val="003A0769"/>
    <w:rPr>
      <w:rFonts w:eastAsia="Calibri" w:cs="Times New Roman"/>
      <w:szCs w:val="20"/>
    </w:rPr>
  </w:style>
  <w:style w:type="paragraph" w:styleId="Footer">
    <w:name w:val="footer"/>
    <w:basedOn w:val="Normal"/>
    <w:link w:val="FooterChar"/>
    <w:uiPriority w:val="99"/>
    <w:unhideWhenUsed/>
    <w:rsid w:val="003A0769"/>
    <w:pPr>
      <w:tabs>
        <w:tab w:val="center" w:pos="4680"/>
        <w:tab w:val="right" w:pos="9360"/>
      </w:tabs>
    </w:pPr>
  </w:style>
  <w:style w:type="character" w:customStyle="1" w:styleId="FooterChar">
    <w:name w:val="Footer Char"/>
    <w:link w:val="Footer"/>
    <w:uiPriority w:val="99"/>
    <w:rsid w:val="003A0769"/>
    <w:rPr>
      <w:rFonts w:eastAsia="Calibri" w:cs="Times New Roman"/>
      <w:szCs w:val="20"/>
    </w:rPr>
  </w:style>
  <w:style w:type="paragraph" w:styleId="NormalWeb">
    <w:name w:val="Normal (Web)"/>
    <w:basedOn w:val="Normal"/>
    <w:link w:val="NormalWebChar"/>
    <w:uiPriority w:val="99"/>
    <w:unhideWhenUsed/>
    <w:rsid w:val="00CE69D9"/>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CE69D9"/>
    <w:rPr>
      <w:rFonts w:eastAsia="Times New Roman" w:cs="Times New Roman"/>
      <w:sz w:val="24"/>
      <w:szCs w:val="24"/>
      <w:lang w:val="x-none" w:eastAsia="x-none"/>
    </w:rPr>
  </w:style>
  <w:style w:type="character" w:styleId="Strong">
    <w:name w:val="Strong"/>
    <w:uiPriority w:val="22"/>
    <w:qFormat/>
    <w:rsid w:val="00CE69D9"/>
    <w:rPr>
      <w:b/>
      <w:bCs/>
    </w:rPr>
  </w:style>
  <w:style w:type="paragraph" w:styleId="BalloonText">
    <w:name w:val="Balloon Text"/>
    <w:basedOn w:val="Normal"/>
    <w:link w:val="BalloonTextChar"/>
    <w:uiPriority w:val="99"/>
    <w:semiHidden/>
    <w:unhideWhenUsed/>
    <w:rsid w:val="00125E44"/>
    <w:rPr>
      <w:rFonts w:ascii="Tahoma" w:hAnsi="Tahoma" w:cs="Tahoma"/>
      <w:sz w:val="16"/>
      <w:szCs w:val="16"/>
    </w:rPr>
  </w:style>
  <w:style w:type="character" w:customStyle="1" w:styleId="BalloonTextChar">
    <w:name w:val="Balloon Text Char"/>
    <w:link w:val="BalloonText"/>
    <w:uiPriority w:val="99"/>
    <w:semiHidden/>
    <w:rsid w:val="00125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69"/>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0769"/>
    <w:pPr>
      <w:spacing w:before="120"/>
    </w:pPr>
    <w:rPr>
      <w:sz w:val="20"/>
    </w:rPr>
  </w:style>
  <w:style w:type="character" w:customStyle="1" w:styleId="FootnoteTextChar">
    <w:name w:val="Footnote Text Char"/>
    <w:link w:val="FootnoteText"/>
    <w:uiPriority w:val="99"/>
    <w:semiHidden/>
    <w:rsid w:val="003A0769"/>
    <w:rPr>
      <w:rFonts w:eastAsia="Calibri" w:cs="Times New Roman"/>
      <w:sz w:val="20"/>
      <w:szCs w:val="20"/>
    </w:rPr>
  </w:style>
  <w:style w:type="character" w:styleId="FootnoteReference">
    <w:name w:val="footnote reference"/>
    <w:uiPriority w:val="99"/>
    <w:semiHidden/>
    <w:unhideWhenUsed/>
    <w:rsid w:val="003A0769"/>
    <w:rPr>
      <w:vertAlign w:val="superscript"/>
    </w:rPr>
  </w:style>
  <w:style w:type="paragraph" w:styleId="Header">
    <w:name w:val="header"/>
    <w:basedOn w:val="Normal"/>
    <w:link w:val="HeaderChar"/>
    <w:uiPriority w:val="99"/>
    <w:unhideWhenUsed/>
    <w:rsid w:val="003A0769"/>
    <w:pPr>
      <w:tabs>
        <w:tab w:val="center" w:pos="4680"/>
        <w:tab w:val="right" w:pos="9360"/>
      </w:tabs>
    </w:pPr>
  </w:style>
  <w:style w:type="character" w:customStyle="1" w:styleId="HeaderChar">
    <w:name w:val="Header Char"/>
    <w:link w:val="Header"/>
    <w:uiPriority w:val="99"/>
    <w:rsid w:val="003A0769"/>
    <w:rPr>
      <w:rFonts w:eastAsia="Calibri" w:cs="Times New Roman"/>
      <w:szCs w:val="20"/>
    </w:rPr>
  </w:style>
  <w:style w:type="paragraph" w:styleId="Footer">
    <w:name w:val="footer"/>
    <w:basedOn w:val="Normal"/>
    <w:link w:val="FooterChar"/>
    <w:uiPriority w:val="99"/>
    <w:unhideWhenUsed/>
    <w:rsid w:val="003A0769"/>
    <w:pPr>
      <w:tabs>
        <w:tab w:val="center" w:pos="4680"/>
        <w:tab w:val="right" w:pos="9360"/>
      </w:tabs>
    </w:pPr>
  </w:style>
  <w:style w:type="character" w:customStyle="1" w:styleId="FooterChar">
    <w:name w:val="Footer Char"/>
    <w:link w:val="Footer"/>
    <w:uiPriority w:val="99"/>
    <w:rsid w:val="003A0769"/>
    <w:rPr>
      <w:rFonts w:eastAsia="Calibri" w:cs="Times New Roman"/>
      <w:szCs w:val="20"/>
    </w:rPr>
  </w:style>
  <w:style w:type="paragraph" w:styleId="NormalWeb">
    <w:name w:val="Normal (Web)"/>
    <w:basedOn w:val="Normal"/>
    <w:link w:val="NormalWebChar"/>
    <w:uiPriority w:val="99"/>
    <w:unhideWhenUsed/>
    <w:rsid w:val="00CE69D9"/>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CE69D9"/>
    <w:rPr>
      <w:rFonts w:eastAsia="Times New Roman" w:cs="Times New Roman"/>
      <w:sz w:val="24"/>
      <w:szCs w:val="24"/>
      <w:lang w:val="x-none" w:eastAsia="x-none"/>
    </w:rPr>
  </w:style>
  <w:style w:type="character" w:styleId="Strong">
    <w:name w:val="Strong"/>
    <w:uiPriority w:val="22"/>
    <w:qFormat/>
    <w:rsid w:val="00CE69D9"/>
    <w:rPr>
      <w:b/>
      <w:bCs/>
    </w:rPr>
  </w:style>
  <w:style w:type="paragraph" w:styleId="BalloonText">
    <w:name w:val="Balloon Text"/>
    <w:basedOn w:val="Normal"/>
    <w:link w:val="BalloonTextChar"/>
    <w:uiPriority w:val="99"/>
    <w:semiHidden/>
    <w:unhideWhenUsed/>
    <w:rsid w:val="00125E44"/>
    <w:rPr>
      <w:rFonts w:ascii="Tahoma" w:hAnsi="Tahoma" w:cs="Tahoma"/>
      <w:sz w:val="16"/>
      <w:szCs w:val="16"/>
    </w:rPr>
  </w:style>
  <w:style w:type="character" w:customStyle="1" w:styleId="BalloonTextChar">
    <w:name w:val="Balloon Text Char"/>
    <w:link w:val="BalloonText"/>
    <w:uiPriority w:val="99"/>
    <w:semiHidden/>
    <w:rsid w:val="00125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cp:lastPrinted>2020-07-01T08:50:00Z</cp:lastPrinted>
  <dcterms:created xsi:type="dcterms:W3CDTF">2020-07-02T06:50:00Z</dcterms:created>
  <dcterms:modified xsi:type="dcterms:W3CDTF">2020-07-03T00:10:00Z</dcterms:modified>
</cp:coreProperties>
</file>