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7"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81"/>
      </w:tblGrid>
      <w:tr w:rsidR="00325736" w:rsidRPr="00325736" w14:paraId="4B788FE6" w14:textId="77777777" w:rsidTr="00341559">
        <w:trPr>
          <w:trHeight w:hRule="exact" w:val="689"/>
        </w:trPr>
        <w:tc>
          <w:tcPr>
            <w:tcW w:w="1981" w:type="pct"/>
            <w:tcBorders>
              <w:top w:val="nil"/>
              <w:left w:val="nil"/>
              <w:bottom w:val="nil"/>
              <w:right w:val="nil"/>
            </w:tcBorders>
            <w:hideMark/>
          </w:tcPr>
          <w:p w14:paraId="6243F0B0" w14:textId="77777777" w:rsidR="009F6FB1" w:rsidRPr="00325736" w:rsidRDefault="009F6FB1" w:rsidP="009F6FB1">
            <w:pPr>
              <w:pStyle w:val="Heading3"/>
              <w:spacing w:before="0" w:after="0"/>
              <w:jc w:val="center"/>
              <w:rPr>
                <w:b w:val="0"/>
                <w:color w:val="auto"/>
                <w:sz w:val="26"/>
                <w:szCs w:val="26"/>
              </w:rPr>
            </w:pPr>
            <w:r w:rsidRPr="00325736">
              <w:rPr>
                <w:b w:val="0"/>
                <w:color w:val="auto"/>
                <w:sz w:val="26"/>
                <w:szCs w:val="26"/>
              </w:rPr>
              <w:t>HĐND TỈNH KON TUM</w:t>
            </w:r>
          </w:p>
          <w:p w14:paraId="63757FBB" w14:textId="77777777" w:rsidR="009F6FB1" w:rsidRPr="00325736" w:rsidRDefault="009F6FB1" w:rsidP="009F6FB1">
            <w:pPr>
              <w:jc w:val="center"/>
              <w:rPr>
                <w:b/>
                <w:lang w:eastAsia="vi-VN"/>
              </w:rPr>
            </w:pPr>
            <w:r w:rsidRPr="00325736">
              <w:rPr>
                <w:lang w:eastAsia="vi-VN"/>
              </w:rPr>
              <mc:AlternateContent>
                <mc:Choice Requires="wps">
                  <w:drawing>
                    <wp:anchor distT="4294967294" distB="4294967294" distL="114300" distR="114300" simplePos="0" relativeHeight="251655680" behindDoc="0" locked="0" layoutInCell="1" allowOverlap="1" wp14:anchorId="3BED7F1A" wp14:editId="15F27DA7">
                      <wp:simplePos x="0" y="0"/>
                      <wp:positionH relativeFrom="margin">
                        <wp:posOffset>687334</wp:posOffset>
                      </wp:positionH>
                      <wp:positionV relativeFrom="paragraph">
                        <wp:posOffset>214630</wp:posOffset>
                      </wp:positionV>
                      <wp:extent cx="595630" cy="0"/>
                      <wp:effectExtent l="0" t="0" r="139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FAFB2" id="Straight Connector 5" o:spid="_x0000_s1026" style="position:absolute;z-index:25165568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4.1pt,16.9pt" to="10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p8HQIAADUEAAAOAAAAZHJzL2Uyb0RvYy54bWysU02P2yAQvVfqf0DcE9vZOE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" strokecolor="#002060">
                      <w10:wrap anchorx="margin"/>
                    </v:line>
                  </w:pict>
                </mc:Fallback>
              </mc:AlternateContent>
            </w:r>
            <w:r w:rsidRPr="00325736">
              <w:rPr>
                <w:b/>
                <w:sz w:val="26"/>
                <w:lang w:eastAsia="vi-VN"/>
              </w:rPr>
              <w:t>BAN KINH TẾ - NGÂN SÁCH</w:t>
            </w:r>
          </w:p>
        </w:tc>
        <w:tc>
          <w:tcPr>
            <w:tcW w:w="3019" w:type="pct"/>
            <w:tcBorders>
              <w:top w:val="nil"/>
              <w:left w:val="nil"/>
              <w:bottom w:val="nil"/>
              <w:right w:val="nil"/>
            </w:tcBorders>
            <w:hideMark/>
          </w:tcPr>
          <w:p w14:paraId="2DB20313" w14:textId="77777777" w:rsidR="009F6FB1" w:rsidRPr="00325736" w:rsidRDefault="009F6FB1" w:rsidP="009F6FB1">
            <w:pPr>
              <w:jc w:val="center"/>
              <w:rPr>
                <w:b/>
                <w:sz w:val="26"/>
                <w:szCs w:val="26"/>
              </w:rPr>
            </w:pPr>
            <w:r w:rsidRPr="00325736">
              <w:rPr>
                <w:b/>
                <w:sz w:val="26"/>
                <w:szCs w:val="26"/>
              </w:rPr>
              <w:t>CỘNG HÒA XÃ HỘI CHỦ NGHĨA VIỆT NAM</w:t>
            </w:r>
          </w:p>
          <w:p w14:paraId="212CB716" w14:textId="77777777" w:rsidR="009F6FB1" w:rsidRPr="00325736" w:rsidRDefault="009F6FB1" w:rsidP="009F6FB1">
            <w:pPr>
              <w:jc w:val="center"/>
              <w:rPr>
                <w:b/>
                <w:sz w:val="28"/>
                <w:szCs w:val="28"/>
              </w:rPr>
            </w:pPr>
            <w:r w:rsidRPr="00325736">
              <w:rPr>
                <w:sz w:val="28"/>
                <w:szCs w:val="28"/>
                <w:lang w:eastAsia="vi-VN"/>
              </w:rPr>
              <mc:AlternateContent>
                <mc:Choice Requires="wps">
                  <w:drawing>
                    <wp:anchor distT="4294967294" distB="4294967294" distL="114300" distR="114300" simplePos="0" relativeHeight="251661824" behindDoc="0" locked="0" layoutInCell="1" allowOverlap="1" wp14:anchorId="120D98D5" wp14:editId="77811121">
                      <wp:simplePos x="0" y="0"/>
                      <wp:positionH relativeFrom="column">
                        <wp:posOffset>685045</wp:posOffset>
                      </wp:positionH>
                      <wp:positionV relativeFrom="paragraph">
                        <wp:posOffset>241432</wp:posOffset>
                      </wp:positionV>
                      <wp:extent cx="2146935"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CEDC72" id="Straight Connector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5pt,19pt" to="2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L2HgIAADY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" strokecolor="#002060"/>
                  </w:pict>
                </mc:Fallback>
              </mc:AlternateContent>
            </w:r>
            <w:r w:rsidRPr="00325736">
              <w:rPr>
                <w:b/>
                <w:sz w:val="28"/>
                <w:szCs w:val="28"/>
              </w:rPr>
              <w:t>Độc lập - Tự do - Hạnh phúc</w:t>
            </w:r>
          </w:p>
        </w:tc>
      </w:tr>
      <w:tr w:rsidR="00325736" w:rsidRPr="00325736" w14:paraId="69AA0E25" w14:textId="77777777" w:rsidTr="00341559">
        <w:trPr>
          <w:trHeight w:hRule="exact" w:val="881"/>
        </w:trPr>
        <w:tc>
          <w:tcPr>
            <w:tcW w:w="1981" w:type="pct"/>
            <w:tcBorders>
              <w:top w:val="nil"/>
              <w:left w:val="nil"/>
              <w:bottom w:val="nil"/>
              <w:right w:val="nil"/>
            </w:tcBorders>
            <w:hideMark/>
          </w:tcPr>
          <w:p w14:paraId="740999D2" w14:textId="31460A71" w:rsidR="009F6FB1" w:rsidRPr="00325736" w:rsidRDefault="009F6FB1" w:rsidP="007511C6">
            <w:pPr>
              <w:jc w:val="center"/>
              <w:rPr>
                <w:sz w:val="28"/>
                <w:szCs w:val="28"/>
                <w:lang w:val="en-US"/>
              </w:rPr>
            </w:pPr>
            <w:r w:rsidRPr="00325736">
              <w:rPr>
                <w:sz w:val="28"/>
                <w:szCs w:val="28"/>
              </w:rPr>
              <w:t xml:space="preserve">Số:  </w:t>
            </w:r>
            <w:r w:rsidR="007511C6">
              <w:rPr>
                <w:sz w:val="28"/>
                <w:szCs w:val="28"/>
                <w:lang w:val="en-US"/>
              </w:rPr>
              <w:t>85</w:t>
            </w:r>
            <w:r w:rsidRPr="00325736">
              <w:rPr>
                <w:sz w:val="28"/>
                <w:szCs w:val="28"/>
              </w:rPr>
              <w:t xml:space="preserve"> /BC-BKTNS</w:t>
            </w:r>
          </w:p>
        </w:tc>
        <w:tc>
          <w:tcPr>
            <w:tcW w:w="3019" w:type="pct"/>
            <w:tcBorders>
              <w:top w:val="nil"/>
              <w:left w:val="nil"/>
              <w:bottom w:val="nil"/>
              <w:right w:val="nil"/>
            </w:tcBorders>
            <w:hideMark/>
          </w:tcPr>
          <w:p w14:paraId="2F5EFA03" w14:textId="009C0A23" w:rsidR="009F6FB1" w:rsidRPr="007511C6" w:rsidRDefault="009F6FB1" w:rsidP="007511C6">
            <w:pPr>
              <w:ind w:firstLine="759"/>
              <w:rPr>
                <w:i/>
                <w:sz w:val="28"/>
                <w:szCs w:val="28"/>
                <w:lang w:val="en-US"/>
              </w:rPr>
            </w:pPr>
            <w:r w:rsidRPr="00325736">
              <w:rPr>
                <w:i/>
                <w:sz w:val="28"/>
                <w:szCs w:val="28"/>
              </w:rPr>
              <w:t xml:space="preserve">Kon Tum, ngày </w:t>
            </w:r>
            <w:r w:rsidR="007511C6">
              <w:rPr>
                <w:i/>
                <w:sz w:val="28"/>
                <w:szCs w:val="28"/>
                <w:lang w:val="en-US"/>
              </w:rPr>
              <w:t>02</w:t>
            </w:r>
            <w:r w:rsidRPr="00325736">
              <w:rPr>
                <w:i/>
                <w:sz w:val="28"/>
                <w:szCs w:val="28"/>
              </w:rPr>
              <w:t xml:space="preserve">  tháng </w:t>
            </w:r>
            <w:r w:rsidR="007511C6">
              <w:rPr>
                <w:i/>
                <w:sz w:val="28"/>
                <w:szCs w:val="28"/>
                <w:lang w:val="en-US"/>
              </w:rPr>
              <w:t>12</w:t>
            </w:r>
            <w:r w:rsidRPr="00325736">
              <w:rPr>
                <w:i/>
                <w:sz w:val="28"/>
                <w:szCs w:val="28"/>
              </w:rPr>
              <w:t xml:space="preserve"> năm</w:t>
            </w:r>
            <w:r w:rsidR="007511C6">
              <w:rPr>
                <w:i/>
                <w:sz w:val="28"/>
                <w:szCs w:val="28"/>
                <w:lang w:val="en-US"/>
              </w:rPr>
              <w:t xml:space="preserve"> 2021</w:t>
            </w:r>
          </w:p>
        </w:tc>
      </w:tr>
    </w:tbl>
    <w:p w14:paraId="2E8EE4A8" w14:textId="77777777" w:rsidR="0058551B" w:rsidRPr="00325736" w:rsidRDefault="0058551B" w:rsidP="0058551B">
      <w:pPr>
        <w:jc w:val="center"/>
        <w:rPr>
          <w:b/>
          <w:sz w:val="28"/>
        </w:rPr>
      </w:pPr>
      <w:r w:rsidRPr="00325736">
        <w:rPr>
          <w:b/>
          <w:sz w:val="28"/>
        </w:rPr>
        <w:t>BÁO CÁO THẨM TRA</w:t>
      </w:r>
    </w:p>
    <w:p w14:paraId="2E8EE4A9" w14:textId="53B05740" w:rsidR="00A1171D" w:rsidRPr="00325736" w:rsidRDefault="0058551B" w:rsidP="00C8289C">
      <w:pPr>
        <w:jc w:val="center"/>
        <w:rPr>
          <w:b/>
          <w:sz w:val="28"/>
        </w:rPr>
      </w:pPr>
      <w:r w:rsidRPr="00325736">
        <w:rPr>
          <w:b/>
          <w:sz w:val="28"/>
        </w:rPr>
        <w:t xml:space="preserve">Về tình hình thực hiện </w:t>
      </w:r>
      <w:r w:rsidR="00A1171D" w:rsidRPr="00325736">
        <w:rPr>
          <w:b/>
          <w:sz w:val="28"/>
        </w:rPr>
        <w:t>nhiệm vụ thu, chi ngân sách</w:t>
      </w:r>
      <w:r w:rsidRPr="00325736">
        <w:rPr>
          <w:b/>
          <w:sz w:val="28"/>
        </w:rPr>
        <w:t xml:space="preserve"> </w:t>
      </w:r>
      <w:r w:rsidR="00814E95" w:rsidRPr="00325736">
        <w:rPr>
          <w:b/>
          <w:sz w:val="28"/>
        </w:rPr>
        <w:t>năm 20</w:t>
      </w:r>
      <w:r w:rsidR="009F6FB1" w:rsidRPr="00325736">
        <w:rPr>
          <w:b/>
          <w:sz w:val="28"/>
        </w:rPr>
        <w:t>2</w:t>
      </w:r>
      <w:r w:rsidR="00871FEB">
        <w:rPr>
          <w:b/>
          <w:sz w:val="28"/>
        </w:rPr>
        <w:t>1</w:t>
      </w:r>
      <w:r w:rsidRPr="00325736">
        <w:rPr>
          <w:b/>
          <w:sz w:val="28"/>
        </w:rPr>
        <w:t>;</w:t>
      </w:r>
      <w:r w:rsidR="00064095" w:rsidRPr="00325736">
        <w:rPr>
          <w:b/>
          <w:sz w:val="28"/>
        </w:rPr>
        <w:t xml:space="preserve"> </w:t>
      </w:r>
    </w:p>
    <w:p w14:paraId="2E8EE4AA" w14:textId="77777777" w:rsidR="00C8289C" w:rsidRPr="00325736" w:rsidRDefault="00C8289C" w:rsidP="00C8289C">
      <w:pPr>
        <w:jc w:val="center"/>
        <w:rPr>
          <w:b/>
          <w:sz w:val="28"/>
        </w:rPr>
      </w:pPr>
      <w:r w:rsidRPr="00325736">
        <w:rPr>
          <w:b/>
          <w:sz w:val="28"/>
        </w:rPr>
        <w:t>dự thảo nghị quyết về dự toán thu, chi ngân sách địa phương và</w:t>
      </w:r>
    </w:p>
    <w:p w14:paraId="2E8EE4AB" w14:textId="19A07282" w:rsidR="00C8289C" w:rsidRPr="00325736" w:rsidRDefault="00C8289C" w:rsidP="00C8289C">
      <w:pPr>
        <w:jc w:val="center"/>
        <w:rPr>
          <w:b/>
          <w:sz w:val="28"/>
        </w:rPr>
      </w:pPr>
      <w:r w:rsidRPr="00325736">
        <w:rPr>
          <w:b/>
          <w:sz w:val="28"/>
        </w:rPr>
        <w:t>phân bổ ngân sách</w:t>
      </w:r>
      <w:r w:rsidR="00C13330" w:rsidRPr="00325736">
        <w:rPr>
          <w:b/>
          <w:sz w:val="28"/>
        </w:rPr>
        <w:t xml:space="preserve"> cấp tỉnh</w:t>
      </w:r>
      <w:r w:rsidRPr="00325736">
        <w:rPr>
          <w:b/>
          <w:sz w:val="28"/>
        </w:rPr>
        <w:t xml:space="preserve"> năm 20</w:t>
      </w:r>
      <w:r w:rsidR="00B22C2D" w:rsidRPr="00325736">
        <w:rPr>
          <w:b/>
          <w:sz w:val="28"/>
        </w:rPr>
        <w:t>2</w:t>
      </w:r>
      <w:r w:rsidR="00871FEB">
        <w:rPr>
          <w:b/>
          <w:sz w:val="28"/>
        </w:rPr>
        <w:t>2</w:t>
      </w:r>
    </w:p>
    <w:p w14:paraId="0414AF89" w14:textId="77777777" w:rsidR="00D25C51" w:rsidRPr="007511C6" w:rsidRDefault="00606BAF" w:rsidP="00D25C51">
      <w:pPr>
        <w:spacing w:before="120" w:after="120" w:line="252" w:lineRule="auto"/>
        <w:ind w:firstLine="709"/>
        <w:jc w:val="both"/>
        <w:rPr>
          <w:sz w:val="28"/>
        </w:rPr>
      </w:pPr>
      <w:r w:rsidRPr="00325736">
        <w:rPr>
          <w:sz w:val="28"/>
          <w:lang w:eastAsia="vi-VN"/>
        </w:rPr>
        <mc:AlternateContent>
          <mc:Choice Requires="wps">
            <w:drawing>
              <wp:anchor distT="0" distB="0" distL="114300" distR="114300" simplePos="0" relativeHeight="251648512" behindDoc="0" locked="0" layoutInCell="1" allowOverlap="1" wp14:anchorId="2E8EE4E6" wp14:editId="2E8EE4E7">
                <wp:simplePos x="0" y="0"/>
                <wp:positionH relativeFrom="margin">
                  <wp:align>center</wp:align>
                </wp:positionH>
                <wp:positionV relativeFrom="paragraph">
                  <wp:posOffset>67310</wp:posOffset>
                </wp:positionV>
                <wp:extent cx="639445" cy="0"/>
                <wp:effectExtent l="6985" t="14605" r="1079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BEC603" id="Line 4" o:spid="_x0000_s1026" style="position:absolute;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q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" strokeweight="1pt">
                <w10:wrap anchorx="margin"/>
              </v:line>
            </w:pict>
          </mc:Fallback>
        </mc:AlternateContent>
      </w:r>
    </w:p>
    <w:p w14:paraId="6AE86582" w14:textId="289ECD46" w:rsidR="00B369D5" w:rsidRPr="00325736" w:rsidRDefault="00B369D5" w:rsidP="0011698D">
      <w:pPr>
        <w:spacing w:before="120" w:after="120" w:line="264" w:lineRule="auto"/>
        <w:ind w:firstLine="709"/>
        <w:jc w:val="both"/>
        <w:rPr>
          <w:sz w:val="28"/>
        </w:rPr>
      </w:pPr>
      <w:r w:rsidRPr="00325736">
        <w:rPr>
          <w:sz w:val="28"/>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w:t>
      </w:r>
    </w:p>
    <w:p w14:paraId="2E8EE4AE" w14:textId="4AC82C99" w:rsidR="007E06BC" w:rsidRPr="00325736" w:rsidRDefault="00556DF1" w:rsidP="0011698D">
      <w:pPr>
        <w:spacing w:before="120" w:after="120" w:line="264" w:lineRule="auto"/>
        <w:ind w:firstLine="709"/>
        <w:jc w:val="both"/>
        <w:rPr>
          <w:sz w:val="28"/>
        </w:rPr>
      </w:pPr>
      <w:r w:rsidRPr="00325736">
        <w:rPr>
          <w:sz w:val="28"/>
          <w:szCs w:val="28"/>
        </w:rPr>
        <w:t xml:space="preserve">Thực hiện sự phân công của Thường trực Hội đồng nhân </w:t>
      </w:r>
      <w:r w:rsidR="004E0B76" w:rsidRPr="00325736">
        <w:rPr>
          <w:sz w:val="28"/>
          <w:szCs w:val="28"/>
        </w:rPr>
        <w:t>tỉnh</w:t>
      </w:r>
      <w:r w:rsidR="00AA05D2" w:rsidRPr="00325736">
        <w:rPr>
          <w:sz w:val="28"/>
        </w:rPr>
        <w:t xml:space="preserve">, </w:t>
      </w:r>
      <w:r w:rsidR="007E06BC" w:rsidRPr="00325736">
        <w:rPr>
          <w:sz w:val="28"/>
        </w:rPr>
        <w:t>trên cơ sở</w:t>
      </w:r>
      <w:r w:rsidR="00AA05D2" w:rsidRPr="00325736">
        <w:rPr>
          <w:sz w:val="28"/>
        </w:rPr>
        <w:t xml:space="preserve"> Báo cáo số </w:t>
      </w:r>
      <w:r w:rsidR="00B369D5" w:rsidRPr="00325736">
        <w:rPr>
          <w:sz w:val="28"/>
        </w:rPr>
        <w:t>3</w:t>
      </w:r>
      <w:r w:rsidR="00871FEB">
        <w:rPr>
          <w:sz w:val="28"/>
        </w:rPr>
        <w:t>69</w:t>
      </w:r>
      <w:r w:rsidRPr="00325736">
        <w:rPr>
          <w:sz w:val="28"/>
        </w:rPr>
        <w:t>/</w:t>
      </w:r>
      <w:r w:rsidR="00AA05D2" w:rsidRPr="00325736">
        <w:rPr>
          <w:sz w:val="28"/>
        </w:rPr>
        <w:t xml:space="preserve">BC-UBND ngày </w:t>
      </w:r>
      <w:r w:rsidR="00A1171D" w:rsidRPr="00325736">
        <w:rPr>
          <w:sz w:val="28"/>
        </w:rPr>
        <w:t>1</w:t>
      </w:r>
      <w:r w:rsidR="00DC0D07" w:rsidRPr="00325736">
        <w:rPr>
          <w:sz w:val="28"/>
        </w:rPr>
        <w:t>7</w:t>
      </w:r>
      <w:r w:rsidR="00AA05D2" w:rsidRPr="00325736">
        <w:rPr>
          <w:sz w:val="28"/>
        </w:rPr>
        <w:t>/11/20</w:t>
      </w:r>
      <w:r w:rsidR="00DC0D07" w:rsidRPr="00325736">
        <w:rPr>
          <w:sz w:val="28"/>
        </w:rPr>
        <w:t>2</w:t>
      </w:r>
      <w:r w:rsidR="00C45793">
        <w:rPr>
          <w:sz w:val="28"/>
        </w:rPr>
        <w:t>1</w:t>
      </w:r>
      <w:r w:rsidR="00AA05D2" w:rsidRPr="00325736">
        <w:rPr>
          <w:sz w:val="28"/>
        </w:rPr>
        <w:t xml:space="preserve"> của Ủy ban nhân dân tỉnh về tình hình thực hiện </w:t>
      </w:r>
      <w:r w:rsidR="00A1171D" w:rsidRPr="00325736">
        <w:rPr>
          <w:sz w:val="28"/>
        </w:rPr>
        <w:t xml:space="preserve">nhiệm vụ thu, chi </w:t>
      </w:r>
      <w:r w:rsidR="00AA05D2" w:rsidRPr="00325736">
        <w:rPr>
          <w:sz w:val="28"/>
        </w:rPr>
        <w:t>ngân sách năm 201</w:t>
      </w:r>
      <w:r w:rsidR="0079063E" w:rsidRPr="00325736">
        <w:rPr>
          <w:sz w:val="28"/>
        </w:rPr>
        <w:t>9</w:t>
      </w:r>
      <w:r w:rsidR="00052E2B" w:rsidRPr="00325736">
        <w:rPr>
          <w:sz w:val="28"/>
        </w:rPr>
        <w:t xml:space="preserve">; Tờ trình </w:t>
      </w:r>
      <w:r w:rsidR="00ED3122" w:rsidRPr="00325736">
        <w:rPr>
          <w:sz w:val="28"/>
        </w:rPr>
        <w:t>số</w:t>
      </w:r>
      <w:r w:rsidR="00052E2B" w:rsidRPr="00325736">
        <w:rPr>
          <w:sz w:val="28"/>
        </w:rPr>
        <w:t xml:space="preserve"> </w:t>
      </w:r>
      <w:r w:rsidR="00871FEB">
        <w:rPr>
          <w:sz w:val="28"/>
        </w:rPr>
        <w:t>218</w:t>
      </w:r>
      <w:r w:rsidR="00F042BC" w:rsidRPr="00325736">
        <w:rPr>
          <w:sz w:val="28"/>
        </w:rPr>
        <w:t>/</w:t>
      </w:r>
      <w:r w:rsidR="00052E2B" w:rsidRPr="00325736">
        <w:rPr>
          <w:sz w:val="28"/>
        </w:rPr>
        <w:t xml:space="preserve">TTr-UBND ngày </w:t>
      </w:r>
      <w:r w:rsidR="00871FEB">
        <w:rPr>
          <w:sz w:val="28"/>
        </w:rPr>
        <w:t>19</w:t>
      </w:r>
      <w:r w:rsidR="00F042BC" w:rsidRPr="00325736">
        <w:rPr>
          <w:sz w:val="28"/>
        </w:rPr>
        <w:t>/1</w:t>
      </w:r>
      <w:r w:rsidRPr="00325736">
        <w:rPr>
          <w:sz w:val="28"/>
        </w:rPr>
        <w:t>1</w:t>
      </w:r>
      <w:r w:rsidR="00F042BC" w:rsidRPr="00325736">
        <w:rPr>
          <w:sz w:val="28"/>
        </w:rPr>
        <w:t>/</w:t>
      </w:r>
      <w:r w:rsidR="004A7944" w:rsidRPr="00325736">
        <w:rPr>
          <w:sz w:val="28"/>
        </w:rPr>
        <w:t>20</w:t>
      </w:r>
      <w:r w:rsidR="00983D8A" w:rsidRPr="00325736">
        <w:rPr>
          <w:sz w:val="28"/>
        </w:rPr>
        <w:t>2</w:t>
      </w:r>
      <w:r w:rsidR="00C45793">
        <w:rPr>
          <w:sz w:val="28"/>
        </w:rPr>
        <w:t>1</w:t>
      </w:r>
      <w:r w:rsidR="004A7944" w:rsidRPr="00325736">
        <w:rPr>
          <w:sz w:val="28"/>
        </w:rPr>
        <w:t xml:space="preserve"> </w:t>
      </w:r>
      <w:r w:rsidR="00052E2B" w:rsidRPr="00325736">
        <w:rPr>
          <w:sz w:val="28"/>
        </w:rPr>
        <w:t xml:space="preserve">của </w:t>
      </w:r>
      <w:r w:rsidR="009806B8" w:rsidRPr="00325736">
        <w:rPr>
          <w:sz w:val="28"/>
        </w:rPr>
        <w:t>Ủy ban nhân dân</w:t>
      </w:r>
      <w:r w:rsidR="00052E2B" w:rsidRPr="00325736">
        <w:rPr>
          <w:sz w:val="28"/>
        </w:rPr>
        <w:t xml:space="preserve"> tỉnh về </w:t>
      </w:r>
      <w:r w:rsidR="00983D8A" w:rsidRPr="00325736">
        <w:rPr>
          <w:sz w:val="28"/>
        </w:rPr>
        <w:t>phương án phân bổ dự toán ngân sách địa phương, ngân sách cấp tỉnh năm 202</w:t>
      </w:r>
      <w:r w:rsidR="00871FEB">
        <w:rPr>
          <w:sz w:val="28"/>
        </w:rPr>
        <w:t>2</w:t>
      </w:r>
      <w:r w:rsidR="00C8289C" w:rsidRPr="00325736">
        <w:rPr>
          <w:sz w:val="28"/>
        </w:rPr>
        <w:t xml:space="preserve">; dự thảo nghị quyết và </w:t>
      </w:r>
      <w:r w:rsidR="007E06BC" w:rsidRPr="00325736">
        <w:rPr>
          <w:sz w:val="28"/>
        </w:rPr>
        <w:t>hồ sơ trình thẩm tra kèm theo</w:t>
      </w:r>
      <w:r w:rsidR="00AA05D2" w:rsidRPr="00325736">
        <w:rPr>
          <w:sz w:val="28"/>
        </w:rPr>
        <w:t xml:space="preserve">. </w:t>
      </w:r>
      <w:r w:rsidRPr="00325736">
        <w:rPr>
          <w:sz w:val="28"/>
          <w:szCs w:val="28"/>
        </w:rPr>
        <w:t>Ban Kinh tế - Ngân sách đã tổ chức phiên họp toàn thể thẩm tra nội dung trên</w:t>
      </w:r>
      <w:r w:rsidR="00112D2D" w:rsidRPr="00325736">
        <w:rPr>
          <w:sz w:val="28"/>
          <w:szCs w:val="28"/>
        </w:rPr>
        <w:t>. Tham dự cuộc họp có lãnh đạo các Ban Hội đồng nhân dân tỉnh; đại diện Ủy ban nhân dân tỉnh và các sở, ngành liên quan. Ban Kinh tế - Ngân sách báo cáo kết quả thẩm tra như sau:</w:t>
      </w:r>
    </w:p>
    <w:p w14:paraId="2E8EE4AF" w14:textId="73A10BBD" w:rsidR="00C8000F" w:rsidRPr="00325736" w:rsidRDefault="002C5BF4" w:rsidP="0011698D">
      <w:pPr>
        <w:spacing w:before="120" w:after="120" w:line="264" w:lineRule="auto"/>
        <w:ind w:firstLine="709"/>
        <w:jc w:val="both"/>
        <w:rPr>
          <w:b/>
          <w:sz w:val="28"/>
        </w:rPr>
      </w:pPr>
      <w:r w:rsidRPr="00325736">
        <w:rPr>
          <w:b/>
          <w:sz w:val="28"/>
        </w:rPr>
        <w:tab/>
        <w:t xml:space="preserve">1. </w:t>
      </w:r>
      <w:r w:rsidR="006B60F2" w:rsidRPr="00325736">
        <w:rPr>
          <w:b/>
          <w:sz w:val="28"/>
        </w:rPr>
        <w:t>T</w:t>
      </w:r>
      <w:r w:rsidR="0058551B" w:rsidRPr="00325736">
        <w:rPr>
          <w:b/>
          <w:sz w:val="28"/>
        </w:rPr>
        <w:t xml:space="preserve">ình hình thực hiện </w:t>
      </w:r>
      <w:r w:rsidR="006B60F2" w:rsidRPr="00325736">
        <w:rPr>
          <w:b/>
          <w:sz w:val="28"/>
        </w:rPr>
        <w:t xml:space="preserve">nhiệm vụ thu, chi </w:t>
      </w:r>
      <w:r w:rsidR="00C8000F" w:rsidRPr="00325736">
        <w:rPr>
          <w:b/>
          <w:sz w:val="28"/>
        </w:rPr>
        <w:t>ngân sách năm 20</w:t>
      </w:r>
      <w:r w:rsidR="00983D8A" w:rsidRPr="00325736">
        <w:rPr>
          <w:b/>
          <w:sz w:val="28"/>
        </w:rPr>
        <w:t>2</w:t>
      </w:r>
      <w:r w:rsidR="00871FEB">
        <w:rPr>
          <w:b/>
          <w:sz w:val="28"/>
        </w:rPr>
        <w:t>1</w:t>
      </w:r>
    </w:p>
    <w:p w14:paraId="2E8EE4B0" w14:textId="7CEDC3EE" w:rsidR="00976997" w:rsidRPr="00325736" w:rsidRDefault="00E80F20" w:rsidP="0011698D">
      <w:pPr>
        <w:spacing w:before="120" w:after="120" w:line="264" w:lineRule="auto"/>
        <w:ind w:firstLine="709"/>
        <w:jc w:val="both"/>
        <w:rPr>
          <w:sz w:val="28"/>
        </w:rPr>
      </w:pPr>
      <w:r w:rsidRPr="00325736">
        <w:rPr>
          <w:b/>
          <w:sz w:val="28"/>
        </w:rPr>
        <w:tab/>
      </w:r>
      <w:r w:rsidR="002C5BF4" w:rsidRPr="00325736">
        <w:rPr>
          <w:b/>
          <w:sz w:val="28"/>
        </w:rPr>
        <w:t>1.</w:t>
      </w:r>
      <w:r w:rsidRPr="00325736">
        <w:rPr>
          <w:b/>
          <w:sz w:val="28"/>
        </w:rPr>
        <w:t xml:space="preserve">1. </w:t>
      </w:r>
      <w:r w:rsidR="00976997" w:rsidRPr="00325736">
        <w:rPr>
          <w:b/>
          <w:sz w:val="28"/>
        </w:rPr>
        <w:t>Về</w:t>
      </w:r>
      <w:r w:rsidR="000A60FD" w:rsidRPr="00325736">
        <w:rPr>
          <w:b/>
          <w:sz w:val="28"/>
        </w:rPr>
        <w:t xml:space="preserve"> </w:t>
      </w:r>
      <w:r w:rsidR="0092539C" w:rsidRPr="00325736">
        <w:rPr>
          <w:b/>
          <w:sz w:val="28"/>
        </w:rPr>
        <w:t xml:space="preserve">tình hình </w:t>
      </w:r>
      <w:r w:rsidR="000A60FD" w:rsidRPr="00325736">
        <w:rPr>
          <w:b/>
          <w:sz w:val="28"/>
        </w:rPr>
        <w:t>thu</w:t>
      </w:r>
      <w:r w:rsidR="00976997" w:rsidRPr="00325736">
        <w:rPr>
          <w:b/>
          <w:sz w:val="28"/>
        </w:rPr>
        <w:t xml:space="preserve"> </w:t>
      </w:r>
      <w:r w:rsidR="00FF27E8" w:rsidRPr="00325736">
        <w:rPr>
          <w:b/>
          <w:sz w:val="28"/>
        </w:rPr>
        <w:t>n</w:t>
      </w:r>
      <w:r w:rsidR="0089721C" w:rsidRPr="00325736">
        <w:rPr>
          <w:b/>
          <w:sz w:val="28"/>
        </w:rPr>
        <w:t xml:space="preserve">gân sách </w:t>
      </w:r>
      <w:r w:rsidR="00A1171D" w:rsidRPr="00325736">
        <w:rPr>
          <w:b/>
          <w:sz w:val="28"/>
        </w:rPr>
        <w:t>n</w:t>
      </w:r>
      <w:r w:rsidR="0089721C" w:rsidRPr="00325736">
        <w:rPr>
          <w:b/>
          <w:sz w:val="28"/>
        </w:rPr>
        <w:t xml:space="preserve">hà nước </w:t>
      </w:r>
    </w:p>
    <w:p w14:paraId="1D496107" w14:textId="3DB0E499" w:rsidR="009818DE" w:rsidRPr="00325736" w:rsidRDefault="00E65FDA" w:rsidP="0011698D">
      <w:pPr>
        <w:spacing w:before="120" w:after="120" w:line="264" w:lineRule="auto"/>
        <w:ind w:firstLine="709"/>
        <w:jc w:val="both"/>
        <w:rPr>
          <w:sz w:val="28"/>
          <w:szCs w:val="28"/>
        </w:rPr>
      </w:pPr>
      <w:r w:rsidRPr="00325736">
        <w:rPr>
          <w:sz w:val="28"/>
          <w:szCs w:val="28"/>
          <w:lang w:val="nl-NL"/>
        </w:rPr>
        <w:t xml:space="preserve">Dự toán thu </w:t>
      </w:r>
      <w:r w:rsidR="000D6F82" w:rsidRPr="00325736">
        <w:rPr>
          <w:sz w:val="28"/>
          <w:szCs w:val="28"/>
        </w:rPr>
        <w:t xml:space="preserve">ngân sách nhà nước </w:t>
      </w:r>
      <w:r w:rsidR="00E76142" w:rsidRPr="00325736">
        <w:rPr>
          <w:sz w:val="28"/>
          <w:szCs w:val="28"/>
          <w:lang w:val="nl-NL"/>
        </w:rPr>
        <w:t xml:space="preserve">trên địa bàn </w:t>
      </w:r>
      <w:r w:rsidRPr="00325736">
        <w:rPr>
          <w:sz w:val="28"/>
          <w:szCs w:val="28"/>
          <w:lang w:val="nl-NL"/>
        </w:rPr>
        <w:t>năm 20</w:t>
      </w:r>
      <w:r w:rsidR="00983D8A" w:rsidRPr="00325736">
        <w:rPr>
          <w:sz w:val="28"/>
          <w:szCs w:val="28"/>
          <w:lang w:val="nl-NL"/>
        </w:rPr>
        <w:t>2</w:t>
      </w:r>
      <w:r w:rsidR="00871FEB">
        <w:rPr>
          <w:sz w:val="28"/>
          <w:szCs w:val="28"/>
        </w:rPr>
        <w:t>1</w:t>
      </w:r>
      <w:r w:rsidRPr="00325736">
        <w:rPr>
          <w:sz w:val="28"/>
          <w:szCs w:val="28"/>
          <w:lang w:val="nl-NL"/>
        </w:rPr>
        <w:t xml:space="preserve"> Hội đồng nhân dân tỉnh </w:t>
      </w:r>
      <w:r w:rsidRPr="00984091">
        <w:rPr>
          <w:sz w:val="28"/>
          <w:szCs w:val="28"/>
          <w:lang w:val="nl-NL"/>
        </w:rPr>
        <w:t xml:space="preserve">giao </w:t>
      </w:r>
      <w:r w:rsidR="000D6F82" w:rsidRPr="00984091">
        <w:rPr>
          <w:sz w:val="28"/>
          <w:szCs w:val="28"/>
        </w:rPr>
        <w:t>3.50</w:t>
      </w:r>
      <w:r w:rsidR="00871FEB" w:rsidRPr="00984091">
        <w:rPr>
          <w:sz w:val="28"/>
          <w:szCs w:val="28"/>
        </w:rPr>
        <w:t>0</w:t>
      </w:r>
      <w:r w:rsidR="000D6F82" w:rsidRPr="00984091">
        <w:rPr>
          <w:sz w:val="28"/>
          <w:szCs w:val="28"/>
          <w:lang w:val="nl-NL"/>
        </w:rPr>
        <w:t>.000</w:t>
      </w:r>
      <w:r w:rsidR="000D6F82" w:rsidRPr="00984091">
        <w:rPr>
          <w:sz w:val="28"/>
          <w:szCs w:val="28"/>
          <w:lang w:val="am-ET"/>
        </w:rPr>
        <w:t xml:space="preserve"> </w:t>
      </w:r>
      <w:r w:rsidR="00E76142" w:rsidRPr="00984091">
        <w:rPr>
          <w:sz w:val="28"/>
          <w:szCs w:val="28"/>
          <w:lang w:val="am-ET"/>
        </w:rPr>
        <w:t>triệu</w:t>
      </w:r>
      <w:r w:rsidR="00E76142" w:rsidRPr="00984091">
        <w:rPr>
          <w:sz w:val="28"/>
          <w:szCs w:val="28"/>
        </w:rPr>
        <w:t xml:space="preserve"> </w:t>
      </w:r>
      <w:r w:rsidR="00E76142" w:rsidRPr="00984091">
        <w:rPr>
          <w:sz w:val="28"/>
          <w:szCs w:val="28"/>
          <w:lang w:val="am-ET"/>
        </w:rPr>
        <w:t>đồng</w:t>
      </w:r>
      <w:r w:rsidRPr="00984091">
        <w:rPr>
          <w:sz w:val="28"/>
          <w:szCs w:val="28"/>
          <w:lang w:val="nl-NL"/>
        </w:rPr>
        <w:t xml:space="preserve">, </w:t>
      </w:r>
      <w:r w:rsidR="00E76142" w:rsidRPr="00984091">
        <w:rPr>
          <w:sz w:val="28"/>
          <w:szCs w:val="28"/>
          <w:lang w:val="am-ET"/>
        </w:rPr>
        <w:t xml:space="preserve">ước thực hiện </w:t>
      </w:r>
      <w:r w:rsidR="00E76142" w:rsidRPr="00984091">
        <w:rPr>
          <w:sz w:val="28"/>
          <w:szCs w:val="28"/>
        </w:rPr>
        <w:t>cả năm</w:t>
      </w:r>
      <w:r w:rsidR="00E76142" w:rsidRPr="00984091">
        <w:rPr>
          <w:color w:val="FF0000"/>
          <w:sz w:val="28"/>
          <w:szCs w:val="28"/>
        </w:rPr>
        <w:t xml:space="preserve"> </w:t>
      </w:r>
      <w:r w:rsidR="00E76142" w:rsidRPr="00984091">
        <w:rPr>
          <w:sz w:val="28"/>
          <w:szCs w:val="28"/>
        </w:rPr>
        <w:t xml:space="preserve">thu </w:t>
      </w:r>
      <w:r w:rsidR="000D6F82" w:rsidRPr="00984091">
        <w:rPr>
          <w:sz w:val="28"/>
          <w:szCs w:val="28"/>
        </w:rPr>
        <w:t>3.</w:t>
      </w:r>
      <w:r w:rsidR="00871FEB" w:rsidRPr="00984091">
        <w:rPr>
          <w:sz w:val="28"/>
          <w:szCs w:val="28"/>
        </w:rPr>
        <w:t>5</w:t>
      </w:r>
      <w:r w:rsidR="000D6F82" w:rsidRPr="00984091">
        <w:rPr>
          <w:sz w:val="28"/>
          <w:szCs w:val="28"/>
        </w:rPr>
        <w:t xml:space="preserve">00.000 </w:t>
      </w:r>
      <w:r w:rsidR="00E76142" w:rsidRPr="00984091">
        <w:rPr>
          <w:sz w:val="28"/>
          <w:szCs w:val="28"/>
          <w:lang w:val="am-ET"/>
        </w:rPr>
        <w:t>triệu đồng</w:t>
      </w:r>
      <w:r w:rsidR="00E76142" w:rsidRPr="00984091">
        <w:rPr>
          <w:sz w:val="28"/>
          <w:szCs w:val="28"/>
        </w:rPr>
        <w:t>,</w:t>
      </w:r>
      <w:r w:rsidR="00E76142" w:rsidRPr="00984091">
        <w:rPr>
          <w:sz w:val="28"/>
          <w:szCs w:val="28"/>
          <w:lang w:val="am-ET"/>
        </w:rPr>
        <w:t xml:space="preserve"> </w:t>
      </w:r>
      <w:r w:rsidR="00871FEB" w:rsidRPr="00E93258">
        <w:rPr>
          <w:sz w:val="28"/>
          <w:szCs w:val="28"/>
        </w:rPr>
        <w:t>đạt 131,8% dự toán Trung ương giao</w:t>
      </w:r>
      <w:r w:rsidR="00871FEB" w:rsidRPr="00E93258">
        <w:rPr>
          <w:bCs/>
          <w:sz w:val="28"/>
          <w:szCs w:val="28"/>
        </w:rPr>
        <w:t xml:space="preserve">, đạt 100% dự toán </w:t>
      </w:r>
      <w:r w:rsidR="00871FEB" w:rsidRPr="00E93258">
        <w:rPr>
          <w:sz w:val="28"/>
          <w:szCs w:val="28"/>
          <w:highlight w:val="white"/>
        </w:rPr>
        <w:t>Hội đồng nhân dân</w:t>
      </w:r>
      <w:r w:rsidR="00871FEB" w:rsidRPr="00E93258">
        <w:rPr>
          <w:bCs/>
          <w:sz w:val="28"/>
          <w:szCs w:val="28"/>
        </w:rPr>
        <w:t xml:space="preserve"> tỉnh giao và bằng 115,4% so với cùng kỳ</w:t>
      </w:r>
      <w:r w:rsidR="00871FEB" w:rsidRPr="00E93258">
        <w:rPr>
          <w:sz w:val="28"/>
          <w:szCs w:val="28"/>
          <w:vertAlign w:val="superscript"/>
          <w:lang w:val="nl-NL"/>
        </w:rPr>
        <w:t>(</w:t>
      </w:r>
      <w:r w:rsidR="00871FEB" w:rsidRPr="00E93258">
        <w:rPr>
          <w:rStyle w:val="FootnoteReference"/>
          <w:sz w:val="28"/>
          <w:szCs w:val="28"/>
          <w:lang w:val="nl-NL"/>
        </w:rPr>
        <w:footnoteReference w:id="2"/>
      </w:r>
      <w:r w:rsidR="00871FEB" w:rsidRPr="00E93258">
        <w:rPr>
          <w:sz w:val="28"/>
          <w:szCs w:val="28"/>
          <w:vertAlign w:val="superscript"/>
          <w:lang w:val="nl-NL"/>
        </w:rPr>
        <w:t>)</w:t>
      </w:r>
      <w:r w:rsidR="000D6F82" w:rsidRPr="00325736">
        <w:rPr>
          <w:sz w:val="28"/>
          <w:szCs w:val="28"/>
          <w:lang w:val="nl-NL"/>
        </w:rPr>
        <w:t>.</w:t>
      </w:r>
      <w:r w:rsidR="000D6F82" w:rsidRPr="00325736">
        <w:rPr>
          <w:sz w:val="28"/>
        </w:rPr>
        <w:t xml:space="preserve"> </w:t>
      </w:r>
      <w:r w:rsidR="005F57CC" w:rsidRPr="00325736">
        <w:rPr>
          <w:sz w:val="28"/>
        </w:rPr>
        <w:t xml:space="preserve">Trong đó: </w:t>
      </w:r>
      <w:r w:rsidR="00732489" w:rsidRPr="00325736">
        <w:rPr>
          <w:sz w:val="28"/>
        </w:rPr>
        <w:t xml:space="preserve">Thu nội địa </w:t>
      </w:r>
      <w:r w:rsidR="00151A66" w:rsidRPr="00325736">
        <w:rPr>
          <w:sz w:val="28"/>
          <w:szCs w:val="28"/>
        </w:rPr>
        <w:t xml:space="preserve">ước thực hiện cả năm thu </w:t>
      </w:r>
      <w:r w:rsidR="00871FEB" w:rsidRPr="00E93258">
        <w:rPr>
          <w:bCs/>
          <w:sz w:val="28"/>
          <w:szCs w:val="28"/>
          <w:highlight w:val="white"/>
          <w:lang w:val="am-ET"/>
        </w:rPr>
        <w:t>3.</w:t>
      </w:r>
      <w:r w:rsidR="00871FEB" w:rsidRPr="00E93258">
        <w:rPr>
          <w:bCs/>
          <w:sz w:val="28"/>
          <w:szCs w:val="28"/>
          <w:highlight w:val="white"/>
        </w:rPr>
        <w:t>231</w:t>
      </w:r>
      <w:r w:rsidR="00871FEB" w:rsidRPr="00E93258">
        <w:rPr>
          <w:bCs/>
          <w:sz w:val="28"/>
          <w:szCs w:val="28"/>
          <w:highlight w:val="white"/>
          <w:lang w:val="am-ET"/>
        </w:rPr>
        <w:t>.</w:t>
      </w:r>
      <w:r w:rsidR="00871FEB" w:rsidRPr="00E93258">
        <w:rPr>
          <w:bCs/>
          <w:sz w:val="28"/>
          <w:szCs w:val="28"/>
          <w:highlight w:val="white"/>
        </w:rPr>
        <w:t>000</w:t>
      </w:r>
      <w:r w:rsidR="00871FEB" w:rsidRPr="00E93258">
        <w:rPr>
          <w:bCs/>
          <w:sz w:val="28"/>
          <w:szCs w:val="28"/>
          <w:highlight w:val="white"/>
          <w:lang w:val="am-ET"/>
        </w:rPr>
        <w:t xml:space="preserve"> </w:t>
      </w:r>
      <w:r w:rsidR="00871FEB" w:rsidRPr="00E93258">
        <w:rPr>
          <w:sz w:val="28"/>
          <w:szCs w:val="28"/>
          <w:lang w:val="am-ET"/>
        </w:rPr>
        <w:t>triệu đồng</w:t>
      </w:r>
      <w:r w:rsidR="00871FEB" w:rsidRPr="00E93258">
        <w:rPr>
          <w:sz w:val="28"/>
          <w:szCs w:val="28"/>
        </w:rPr>
        <w:t>,</w:t>
      </w:r>
      <w:r w:rsidR="00871FEB" w:rsidRPr="00E93258">
        <w:rPr>
          <w:sz w:val="28"/>
          <w:szCs w:val="28"/>
          <w:lang w:val="am-ET"/>
        </w:rPr>
        <w:t xml:space="preserve"> </w:t>
      </w:r>
      <w:r w:rsidR="00871FEB" w:rsidRPr="00E93258">
        <w:rPr>
          <w:bCs/>
          <w:sz w:val="28"/>
          <w:szCs w:val="28"/>
          <w:highlight w:val="white"/>
        </w:rPr>
        <w:t xml:space="preserve">đạt </w:t>
      </w:r>
      <w:r w:rsidR="00871FEB" w:rsidRPr="00E93258">
        <w:rPr>
          <w:bCs/>
          <w:sz w:val="28"/>
          <w:szCs w:val="28"/>
        </w:rPr>
        <w:t>99,3%</w:t>
      </w:r>
      <w:r w:rsidR="00871FEB" w:rsidRPr="00E93258">
        <w:rPr>
          <w:bCs/>
          <w:sz w:val="28"/>
          <w:szCs w:val="28"/>
          <w:highlight w:val="white"/>
        </w:rPr>
        <w:t xml:space="preserve"> </w:t>
      </w:r>
      <w:r w:rsidR="00871FEB" w:rsidRPr="00E93258">
        <w:rPr>
          <w:bCs/>
          <w:sz w:val="28"/>
          <w:szCs w:val="28"/>
          <w:highlight w:val="white"/>
          <w:lang w:val="am-ET"/>
        </w:rPr>
        <w:t xml:space="preserve">dự toán </w:t>
      </w:r>
      <w:r w:rsidR="00871FEB" w:rsidRPr="00E93258">
        <w:rPr>
          <w:sz w:val="28"/>
          <w:szCs w:val="28"/>
          <w:highlight w:val="white"/>
        </w:rPr>
        <w:t>Hội đồng nhân dân</w:t>
      </w:r>
      <w:r w:rsidR="00871FEB" w:rsidRPr="00E93258">
        <w:rPr>
          <w:bCs/>
          <w:sz w:val="28"/>
          <w:szCs w:val="28"/>
        </w:rPr>
        <w:t xml:space="preserve"> tỉnh giao và bằng 117,1% so với cùng kỳ</w:t>
      </w:r>
      <w:r w:rsidR="004D2966" w:rsidRPr="00325736">
        <w:rPr>
          <w:sz w:val="28"/>
        </w:rPr>
        <w:t xml:space="preserve"> </w:t>
      </w:r>
      <w:r w:rsidR="004D2966" w:rsidRPr="00984091">
        <w:rPr>
          <w:i/>
          <w:sz w:val="28"/>
        </w:rPr>
        <w:t>(t</w:t>
      </w:r>
      <w:r w:rsidR="003E7460" w:rsidRPr="00984091">
        <w:rPr>
          <w:i/>
          <w:sz w:val="28"/>
        </w:rPr>
        <w:t>ính đến tháng 10/202</w:t>
      </w:r>
      <w:r w:rsidR="00871FEB" w:rsidRPr="00984091">
        <w:rPr>
          <w:i/>
          <w:sz w:val="28"/>
        </w:rPr>
        <w:t>1</w:t>
      </w:r>
      <w:r w:rsidR="003E7460" w:rsidRPr="00984091">
        <w:rPr>
          <w:i/>
          <w:sz w:val="28"/>
        </w:rPr>
        <w:t xml:space="preserve">, </w:t>
      </w:r>
      <w:r w:rsidR="003E7460" w:rsidRPr="00984091">
        <w:rPr>
          <w:i/>
          <w:sz w:val="28"/>
          <w:szCs w:val="28"/>
          <w:lang w:val="am-ET"/>
        </w:rPr>
        <w:t>một số lĩnh vực có số thu lớn</w:t>
      </w:r>
      <w:r w:rsidR="003E7460" w:rsidRPr="00984091">
        <w:rPr>
          <w:i/>
          <w:sz w:val="28"/>
          <w:szCs w:val="28"/>
        </w:rPr>
        <w:t xml:space="preserve"> </w:t>
      </w:r>
      <w:r w:rsidR="00871FEB" w:rsidRPr="00984091">
        <w:rPr>
          <w:i/>
          <w:sz w:val="28"/>
          <w:szCs w:val="28"/>
        </w:rPr>
        <w:t>cơ bản</w:t>
      </w:r>
      <w:r w:rsidR="003E7460" w:rsidRPr="00984091">
        <w:rPr>
          <w:i/>
          <w:sz w:val="28"/>
          <w:szCs w:val="28"/>
        </w:rPr>
        <w:t xml:space="preserve"> đạt dự toán giao đầu năm</w:t>
      </w:r>
      <w:r w:rsidR="000D22CB" w:rsidRPr="00984091">
        <w:rPr>
          <w:i/>
          <w:sz w:val="28"/>
          <w:szCs w:val="28"/>
          <w:vertAlign w:val="superscript"/>
        </w:rPr>
        <w:t>(</w:t>
      </w:r>
      <w:r w:rsidR="000D22CB" w:rsidRPr="00984091">
        <w:rPr>
          <w:rStyle w:val="FootnoteReference"/>
          <w:i/>
          <w:sz w:val="28"/>
          <w:szCs w:val="28"/>
          <w:lang w:val="en-US"/>
        </w:rPr>
        <w:footnoteReference w:id="3"/>
      </w:r>
      <w:r w:rsidR="000D22CB" w:rsidRPr="00984091">
        <w:rPr>
          <w:i/>
          <w:sz w:val="28"/>
          <w:szCs w:val="28"/>
          <w:vertAlign w:val="superscript"/>
        </w:rPr>
        <w:t>)</w:t>
      </w:r>
      <w:r w:rsidR="004D2966" w:rsidRPr="00984091">
        <w:rPr>
          <w:i/>
          <w:sz w:val="28"/>
          <w:szCs w:val="28"/>
        </w:rPr>
        <w:t>)</w:t>
      </w:r>
      <w:r w:rsidR="000D22CB" w:rsidRPr="00325736">
        <w:rPr>
          <w:sz w:val="28"/>
          <w:szCs w:val="28"/>
        </w:rPr>
        <w:t>.</w:t>
      </w:r>
      <w:r w:rsidR="00984091">
        <w:rPr>
          <w:sz w:val="28"/>
          <w:szCs w:val="28"/>
        </w:rPr>
        <w:t xml:space="preserve"> </w:t>
      </w:r>
      <w:r w:rsidR="00984091" w:rsidRPr="00325736">
        <w:rPr>
          <w:sz w:val="28"/>
          <w:szCs w:val="28"/>
        </w:rPr>
        <w:t>Đối với tình hình thực hiện thu nội địa ngân sách địa phương được hưởng theo phân cấp</w:t>
      </w:r>
      <w:r w:rsidR="00984091">
        <w:rPr>
          <w:sz w:val="28"/>
          <w:szCs w:val="28"/>
        </w:rPr>
        <w:t>,</w:t>
      </w:r>
      <w:r w:rsidR="00984091" w:rsidRPr="00325736">
        <w:rPr>
          <w:sz w:val="28"/>
          <w:szCs w:val="28"/>
        </w:rPr>
        <w:t xml:space="preserve"> </w:t>
      </w:r>
      <w:r w:rsidR="00984091">
        <w:rPr>
          <w:sz w:val="28"/>
          <w:szCs w:val="28"/>
        </w:rPr>
        <w:t>t</w:t>
      </w:r>
      <w:r w:rsidR="009818DE" w:rsidRPr="00325736">
        <w:rPr>
          <w:sz w:val="28"/>
          <w:szCs w:val="28"/>
        </w:rPr>
        <w:t>heo báo cáo đánh giá của Ủy ban nhân dân tỉnh</w:t>
      </w:r>
      <w:r w:rsidR="000A1DB9" w:rsidRPr="00325736">
        <w:rPr>
          <w:sz w:val="28"/>
          <w:szCs w:val="28"/>
        </w:rPr>
        <w:t xml:space="preserve">, </w:t>
      </w:r>
      <w:r w:rsidR="009818DE" w:rsidRPr="00325736">
        <w:rPr>
          <w:sz w:val="28"/>
          <w:szCs w:val="28"/>
        </w:rPr>
        <w:t xml:space="preserve">ước thực hiện cả năm thu </w:t>
      </w:r>
      <w:r w:rsidR="00984091" w:rsidRPr="00E93258">
        <w:rPr>
          <w:spacing w:val="-2"/>
          <w:sz w:val="28"/>
          <w:szCs w:val="28"/>
        </w:rPr>
        <w:t>2.959.422 triệu đồng</w:t>
      </w:r>
      <w:r w:rsidR="009818DE" w:rsidRPr="00325736">
        <w:rPr>
          <w:sz w:val="28"/>
          <w:szCs w:val="28"/>
        </w:rPr>
        <w:t xml:space="preserve">, </w:t>
      </w:r>
      <w:r w:rsidR="00984091" w:rsidRPr="00E93258">
        <w:rPr>
          <w:spacing w:val="-2"/>
          <w:sz w:val="28"/>
          <w:szCs w:val="28"/>
        </w:rPr>
        <w:t xml:space="preserve">đạt 97,1% dự </w:t>
      </w:r>
      <w:r w:rsidR="00984091" w:rsidRPr="00E93258">
        <w:rPr>
          <w:spacing w:val="-2"/>
          <w:sz w:val="28"/>
          <w:szCs w:val="28"/>
        </w:rPr>
        <w:lastRenderedPageBreak/>
        <w:t>toán và bằng 118,3% so cùng kỳ năm trước</w:t>
      </w:r>
      <w:r w:rsidR="00984091">
        <w:rPr>
          <w:spacing w:val="-2"/>
          <w:sz w:val="28"/>
          <w:szCs w:val="28"/>
        </w:rPr>
        <w:t>;</w:t>
      </w:r>
      <w:r w:rsidR="009818DE" w:rsidRPr="00325736">
        <w:rPr>
          <w:sz w:val="28"/>
          <w:szCs w:val="28"/>
          <w:shd w:val="clear" w:color="auto" w:fill="FFFFFF"/>
        </w:rPr>
        <w:t xml:space="preserve"> </w:t>
      </w:r>
      <w:r w:rsidR="00984091" w:rsidRPr="00E93258">
        <w:rPr>
          <w:spacing w:val="-2"/>
          <w:sz w:val="28"/>
          <w:szCs w:val="28"/>
        </w:rPr>
        <w:t>sau khi trừ tiền sử dụng đất</w:t>
      </w:r>
      <w:r w:rsidR="00984091" w:rsidRPr="00984091">
        <w:rPr>
          <w:spacing w:val="-2"/>
          <w:sz w:val="28"/>
          <w:szCs w:val="28"/>
          <w:vertAlign w:val="superscript"/>
        </w:rPr>
        <w:t>(</w:t>
      </w:r>
      <w:r w:rsidR="00984091">
        <w:rPr>
          <w:rStyle w:val="FootnoteReference"/>
          <w:spacing w:val="-2"/>
          <w:sz w:val="28"/>
          <w:szCs w:val="28"/>
        </w:rPr>
        <w:footnoteReference w:id="4"/>
      </w:r>
      <w:r w:rsidR="00984091" w:rsidRPr="00984091">
        <w:rPr>
          <w:spacing w:val="-2"/>
          <w:sz w:val="28"/>
          <w:szCs w:val="28"/>
          <w:vertAlign w:val="superscript"/>
        </w:rPr>
        <w:t>)</w:t>
      </w:r>
      <w:r w:rsidR="00984091" w:rsidRPr="00E93258">
        <w:rPr>
          <w:spacing w:val="-2"/>
          <w:sz w:val="28"/>
          <w:szCs w:val="28"/>
        </w:rPr>
        <w:t xml:space="preserve"> và xổ số kiến thiết, thì ước thực hiện cả năm 1.976.172 triệu đồng, đạt 106,8% dự toán, t</w:t>
      </w:r>
      <w:r w:rsidR="00984091" w:rsidRPr="00E93258">
        <w:rPr>
          <w:spacing w:val="-2"/>
          <w:sz w:val="28"/>
          <w:szCs w:val="28"/>
          <w:shd w:val="clear" w:color="auto" w:fill="FFFFFF"/>
        </w:rPr>
        <w:t>ăng thu khoảng 126.272 triệu đồng.</w:t>
      </w:r>
    </w:p>
    <w:p w14:paraId="42D0297C" w14:textId="1E462653" w:rsidR="006E61F3" w:rsidRPr="00325736" w:rsidRDefault="00D14A9F" w:rsidP="0011698D">
      <w:pPr>
        <w:spacing w:before="120" w:after="120" w:line="264" w:lineRule="auto"/>
        <w:ind w:firstLine="709"/>
        <w:jc w:val="both"/>
        <w:rPr>
          <w:sz w:val="28"/>
          <w:szCs w:val="28"/>
          <w:lang w:val="nl-NL"/>
        </w:rPr>
      </w:pPr>
      <w:r w:rsidRPr="00325736">
        <w:rPr>
          <w:sz w:val="28"/>
          <w:szCs w:val="28"/>
        </w:rPr>
        <w:t xml:space="preserve">Về tình hình thu hồi nợ đọng thuế và xử lý nợ thuế: </w:t>
      </w:r>
      <w:r w:rsidR="006F20EB" w:rsidRPr="00325736">
        <w:rPr>
          <w:sz w:val="28"/>
          <w:szCs w:val="28"/>
        </w:rPr>
        <w:t xml:space="preserve">Tính đến </w:t>
      </w:r>
      <w:r w:rsidR="00880F34" w:rsidRPr="00325736">
        <w:rPr>
          <w:sz w:val="28"/>
          <w:szCs w:val="28"/>
        </w:rPr>
        <w:t>ngày</w:t>
      </w:r>
      <w:r w:rsidR="006168E7" w:rsidRPr="00325736">
        <w:rPr>
          <w:sz w:val="28"/>
          <w:szCs w:val="28"/>
        </w:rPr>
        <w:t xml:space="preserve"> </w:t>
      </w:r>
      <w:r w:rsidR="00790C91" w:rsidRPr="00325736">
        <w:rPr>
          <w:sz w:val="28"/>
          <w:szCs w:val="28"/>
        </w:rPr>
        <w:t>30/9</w:t>
      </w:r>
      <w:r w:rsidR="006168E7" w:rsidRPr="00325736">
        <w:rPr>
          <w:sz w:val="28"/>
          <w:szCs w:val="28"/>
        </w:rPr>
        <w:t>/20</w:t>
      </w:r>
      <w:r w:rsidR="00983D8A" w:rsidRPr="00325736">
        <w:rPr>
          <w:sz w:val="28"/>
          <w:szCs w:val="28"/>
        </w:rPr>
        <w:t>20</w:t>
      </w:r>
      <w:r w:rsidR="00FF5996" w:rsidRPr="00325736">
        <w:rPr>
          <w:sz w:val="28"/>
          <w:szCs w:val="28"/>
        </w:rPr>
        <w:t xml:space="preserve">, </w:t>
      </w:r>
      <w:r w:rsidR="008335F3" w:rsidRPr="00325736">
        <w:rPr>
          <w:sz w:val="28"/>
          <w:szCs w:val="28"/>
          <w:lang w:val="nl-NL"/>
        </w:rPr>
        <w:t xml:space="preserve">tổng số nợ thuế </w:t>
      </w:r>
      <w:r w:rsidR="00EB2045" w:rsidRPr="00E93258">
        <w:rPr>
          <w:sz w:val="28"/>
          <w:szCs w:val="28"/>
          <w:lang w:val="nl-NL"/>
        </w:rPr>
        <w:t>175.357 triệu đồng</w:t>
      </w:r>
      <w:r w:rsidR="00372FF5" w:rsidRPr="00325736">
        <w:rPr>
          <w:sz w:val="28"/>
          <w:szCs w:val="28"/>
          <w:lang w:val="nl-NL"/>
        </w:rPr>
        <w:t xml:space="preserve">, </w:t>
      </w:r>
      <w:r w:rsidR="00EB2045" w:rsidRPr="00E93258">
        <w:rPr>
          <w:sz w:val="28"/>
          <w:szCs w:val="28"/>
          <w:lang w:val="nl-NL"/>
        </w:rPr>
        <w:t>giảm 124.361 triệu đồng (giảm 41,5</w:t>
      </w:r>
      <w:r w:rsidR="00EB2045">
        <w:rPr>
          <w:sz w:val="28"/>
          <w:szCs w:val="28"/>
          <w:lang w:val="nl-NL"/>
        </w:rPr>
        <w:t>%) so với thời điểm 31</w:t>
      </w:r>
      <w:r w:rsidR="00EB2045">
        <w:rPr>
          <w:sz w:val="28"/>
          <w:szCs w:val="28"/>
        </w:rPr>
        <w:t>/</w:t>
      </w:r>
      <w:r w:rsidR="00EB2045">
        <w:rPr>
          <w:sz w:val="28"/>
          <w:szCs w:val="28"/>
          <w:lang w:val="nl-NL"/>
        </w:rPr>
        <w:t>12</w:t>
      </w:r>
      <w:r w:rsidR="00EB2045">
        <w:rPr>
          <w:sz w:val="28"/>
          <w:szCs w:val="28"/>
        </w:rPr>
        <w:t>/</w:t>
      </w:r>
      <w:r w:rsidR="00EB2045" w:rsidRPr="00E93258">
        <w:rPr>
          <w:sz w:val="28"/>
          <w:szCs w:val="28"/>
          <w:lang w:val="nl-NL"/>
        </w:rPr>
        <w:t>2020</w:t>
      </w:r>
      <w:r w:rsidR="00EB2045" w:rsidRPr="00EB2045">
        <w:rPr>
          <w:sz w:val="28"/>
          <w:szCs w:val="28"/>
          <w:vertAlign w:val="superscript"/>
        </w:rPr>
        <w:t>(</w:t>
      </w:r>
      <w:r w:rsidR="00EB2045">
        <w:rPr>
          <w:rStyle w:val="FootnoteReference"/>
          <w:sz w:val="28"/>
          <w:szCs w:val="28"/>
        </w:rPr>
        <w:footnoteReference w:id="5"/>
      </w:r>
      <w:r w:rsidR="00EB2045" w:rsidRPr="00EB2045">
        <w:rPr>
          <w:sz w:val="28"/>
          <w:szCs w:val="28"/>
          <w:vertAlign w:val="superscript"/>
        </w:rPr>
        <w:t>)</w:t>
      </w:r>
      <w:r w:rsidR="00F91373" w:rsidRPr="00325736">
        <w:rPr>
          <w:sz w:val="28"/>
          <w:szCs w:val="28"/>
          <w:lang w:val="nl-NL"/>
        </w:rPr>
        <w:t xml:space="preserve">, </w:t>
      </w:r>
      <w:r w:rsidR="008726A8" w:rsidRPr="00325736">
        <w:rPr>
          <w:sz w:val="28"/>
          <w:szCs w:val="28"/>
          <w:lang w:val="nl-NL"/>
        </w:rPr>
        <w:t xml:space="preserve">trong đó: </w:t>
      </w:r>
      <w:r w:rsidR="00AE072D" w:rsidRPr="00325736">
        <w:rPr>
          <w:sz w:val="28"/>
          <w:szCs w:val="28"/>
        </w:rPr>
        <w:t xml:space="preserve">nợ có khả năng thu là </w:t>
      </w:r>
      <w:r w:rsidR="00522824" w:rsidRPr="00E93258">
        <w:rPr>
          <w:sz w:val="28"/>
          <w:szCs w:val="28"/>
          <w:lang w:val="nl-NL"/>
        </w:rPr>
        <w:t>102.952 triệu đồng</w:t>
      </w:r>
      <w:r w:rsidR="00AE072D" w:rsidRPr="00325736">
        <w:rPr>
          <w:sz w:val="28"/>
          <w:szCs w:val="28"/>
        </w:rPr>
        <w:t xml:space="preserve">, nợ khó thu là </w:t>
      </w:r>
      <w:r w:rsidR="00522824" w:rsidRPr="00E93258">
        <w:rPr>
          <w:sz w:val="28"/>
          <w:szCs w:val="28"/>
          <w:lang w:val="nl-NL"/>
        </w:rPr>
        <w:t>21.190 triệu đồng</w:t>
      </w:r>
      <w:r w:rsidR="00A16F9C">
        <w:rPr>
          <w:sz w:val="28"/>
          <w:szCs w:val="28"/>
        </w:rPr>
        <w:t>;</w:t>
      </w:r>
      <w:r w:rsidR="008726A8" w:rsidRPr="00325736">
        <w:rPr>
          <w:sz w:val="28"/>
          <w:szCs w:val="28"/>
          <w:lang w:val="nl-NL"/>
        </w:rPr>
        <w:t xml:space="preserve"> </w:t>
      </w:r>
      <w:r w:rsidR="00A16F9C">
        <w:rPr>
          <w:sz w:val="28"/>
          <w:szCs w:val="28"/>
        </w:rPr>
        <w:t>n</w:t>
      </w:r>
      <w:r w:rsidR="00A16F9C" w:rsidRPr="00E93258">
        <w:rPr>
          <w:sz w:val="28"/>
          <w:szCs w:val="28"/>
          <w:lang w:val="nl-NL"/>
        </w:rPr>
        <w:t xml:space="preserve">ợ đang chờ xử lý xóa theo Nghị quyết 94/2019/QH14 của Quốc hội là 50.386 triệu đồng; </w:t>
      </w:r>
      <w:r w:rsidR="00A16F9C">
        <w:rPr>
          <w:sz w:val="28"/>
          <w:szCs w:val="28"/>
        </w:rPr>
        <w:t>n</w:t>
      </w:r>
      <w:r w:rsidR="00A16F9C" w:rsidRPr="00E93258">
        <w:rPr>
          <w:sz w:val="28"/>
          <w:szCs w:val="28"/>
          <w:lang w:val="nl-NL"/>
        </w:rPr>
        <w:t>ợ đang chờ xử lý khác 829 triệu đồng.</w:t>
      </w:r>
    </w:p>
    <w:p w14:paraId="301D27B9" w14:textId="1AA5F3E6" w:rsidR="00F30763" w:rsidRPr="00325736" w:rsidRDefault="000403F1" w:rsidP="0011698D">
      <w:pPr>
        <w:spacing w:before="120" w:after="120" w:line="264" w:lineRule="auto"/>
        <w:ind w:firstLine="709"/>
        <w:jc w:val="both"/>
        <w:rPr>
          <w:spacing w:val="-2"/>
          <w:sz w:val="28"/>
          <w:szCs w:val="28"/>
          <w:lang w:val="nl-NL"/>
        </w:rPr>
      </w:pPr>
      <w:r w:rsidRPr="00325736">
        <w:rPr>
          <w:sz w:val="28"/>
          <w:szCs w:val="28"/>
          <w:lang w:val="nl-NL"/>
        </w:rPr>
        <w:t>Ban Kinh tế - Ngân sách nhận thấy</w:t>
      </w:r>
      <w:r w:rsidR="006E61F3" w:rsidRPr="00325736">
        <w:rPr>
          <w:sz w:val="28"/>
          <w:szCs w:val="28"/>
          <w:lang w:val="nl-NL"/>
        </w:rPr>
        <w:t>,</w:t>
      </w:r>
      <w:r w:rsidR="00AE1C92" w:rsidRPr="00325736">
        <w:rPr>
          <w:sz w:val="28"/>
          <w:szCs w:val="28"/>
          <w:lang w:val="nl-NL"/>
        </w:rPr>
        <w:t xml:space="preserve"> </w:t>
      </w:r>
      <w:r w:rsidR="00662E78">
        <w:rPr>
          <w:sz w:val="28"/>
          <w:szCs w:val="28"/>
        </w:rPr>
        <w:t xml:space="preserve">mặc dù ước thực hiện </w:t>
      </w:r>
      <w:r w:rsidR="00662E78" w:rsidRPr="00E93258">
        <w:rPr>
          <w:bCs/>
          <w:spacing w:val="-2"/>
          <w:sz w:val="28"/>
          <w:szCs w:val="28"/>
          <w:lang w:val="it-IT"/>
        </w:rPr>
        <w:t>thu NSNN trên địa bàn năm 2021 đạt dự toán Hội đồng nhân dân tỉnh giao (đạt 100%), tuy nhiên vẫn còn một số lĩnh vực thu chưa đạt dự toán</w:t>
      </w:r>
      <w:r w:rsidR="00662E78" w:rsidRPr="00662E78">
        <w:rPr>
          <w:bCs/>
          <w:spacing w:val="-2"/>
          <w:sz w:val="28"/>
          <w:szCs w:val="28"/>
          <w:vertAlign w:val="superscript"/>
        </w:rPr>
        <w:t>(</w:t>
      </w:r>
      <w:r w:rsidR="00662E78">
        <w:rPr>
          <w:rStyle w:val="FootnoteReference"/>
          <w:bCs/>
          <w:spacing w:val="-2"/>
          <w:sz w:val="28"/>
          <w:szCs w:val="28"/>
        </w:rPr>
        <w:footnoteReference w:id="6"/>
      </w:r>
      <w:r w:rsidR="00662E78" w:rsidRPr="00662E78">
        <w:rPr>
          <w:bCs/>
          <w:spacing w:val="-2"/>
          <w:sz w:val="28"/>
          <w:szCs w:val="28"/>
          <w:vertAlign w:val="superscript"/>
        </w:rPr>
        <w:t>)</w:t>
      </w:r>
      <w:r w:rsidR="00662E78">
        <w:rPr>
          <w:bCs/>
          <w:spacing w:val="-2"/>
          <w:sz w:val="28"/>
          <w:szCs w:val="28"/>
        </w:rPr>
        <w:t xml:space="preserve">. Ban cơ bản thống nhất với những nguyên nhân UBND tỉnh xác định tại </w:t>
      </w:r>
      <w:r w:rsidR="00662E78" w:rsidRPr="00325736">
        <w:rPr>
          <w:sz w:val="28"/>
        </w:rPr>
        <w:t>Báo cáo số 3</w:t>
      </w:r>
      <w:r w:rsidR="00662E78">
        <w:rPr>
          <w:sz w:val="28"/>
        </w:rPr>
        <w:t>69</w:t>
      </w:r>
      <w:r w:rsidR="00662E78" w:rsidRPr="00325736">
        <w:rPr>
          <w:sz w:val="28"/>
        </w:rPr>
        <w:t>/BC-UBND ngày 17/11/202</w:t>
      </w:r>
      <w:r w:rsidR="00C45793">
        <w:rPr>
          <w:sz w:val="28"/>
        </w:rPr>
        <w:t>1</w:t>
      </w:r>
      <w:r w:rsidR="00662E78" w:rsidRPr="00662E78">
        <w:rPr>
          <w:sz w:val="28"/>
          <w:vertAlign w:val="superscript"/>
        </w:rPr>
        <w:t>(</w:t>
      </w:r>
      <w:r w:rsidR="00662E78">
        <w:rPr>
          <w:rStyle w:val="FootnoteReference"/>
          <w:sz w:val="28"/>
        </w:rPr>
        <w:footnoteReference w:id="7"/>
      </w:r>
      <w:r w:rsidR="00662E78" w:rsidRPr="00662E78">
        <w:rPr>
          <w:sz w:val="28"/>
          <w:vertAlign w:val="superscript"/>
        </w:rPr>
        <w:t>)</w:t>
      </w:r>
      <w:r w:rsidR="00E37953">
        <w:rPr>
          <w:sz w:val="28"/>
        </w:rPr>
        <w:t>.</w:t>
      </w:r>
    </w:p>
    <w:p w14:paraId="2E8EE4B4" w14:textId="5BE50B42" w:rsidR="009A7DBF" w:rsidRPr="00325736" w:rsidRDefault="002C5BF4" w:rsidP="0011698D">
      <w:pPr>
        <w:spacing w:before="120" w:after="120" w:line="264" w:lineRule="auto"/>
        <w:ind w:firstLine="709"/>
        <w:jc w:val="both"/>
        <w:rPr>
          <w:b/>
          <w:sz w:val="28"/>
          <w:lang w:val="nl-NL"/>
        </w:rPr>
      </w:pPr>
      <w:r w:rsidRPr="00325736">
        <w:rPr>
          <w:b/>
          <w:sz w:val="28"/>
        </w:rPr>
        <w:t>1.</w:t>
      </w:r>
      <w:r w:rsidR="009A7DBF" w:rsidRPr="00325736">
        <w:rPr>
          <w:b/>
          <w:sz w:val="28"/>
        </w:rPr>
        <w:t xml:space="preserve">2. Về tình hình chi ngân sách địa phương </w:t>
      </w:r>
      <w:r w:rsidR="00843AF9" w:rsidRPr="00325736">
        <w:rPr>
          <w:b/>
          <w:sz w:val="28"/>
          <w:lang w:val="nl-NL"/>
        </w:rPr>
        <w:t xml:space="preserve"> </w:t>
      </w:r>
    </w:p>
    <w:p w14:paraId="52D4D1C8" w14:textId="49CD2F06" w:rsidR="00E37953" w:rsidRDefault="009A7DBF" w:rsidP="0011698D">
      <w:pPr>
        <w:spacing w:before="120" w:after="120" w:line="264" w:lineRule="auto"/>
        <w:ind w:firstLine="709"/>
        <w:jc w:val="both"/>
        <w:rPr>
          <w:bCs/>
          <w:sz w:val="28"/>
          <w:szCs w:val="28"/>
        </w:rPr>
      </w:pPr>
      <w:r w:rsidRPr="00325736">
        <w:rPr>
          <w:sz w:val="28"/>
        </w:rPr>
        <w:t>Tổng n</w:t>
      </w:r>
      <w:r w:rsidRPr="00325736">
        <w:rPr>
          <w:sz w:val="28"/>
          <w:lang w:val="am-ET"/>
        </w:rPr>
        <w:t>hiệm vụ chi ngân sách địa phương năm 20</w:t>
      </w:r>
      <w:r w:rsidR="000D220B" w:rsidRPr="00325736">
        <w:rPr>
          <w:sz w:val="28"/>
          <w:lang w:val="nl-NL"/>
        </w:rPr>
        <w:t>2</w:t>
      </w:r>
      <w:r w:rsidR="00E37953">
        <w:rPr>
          <w:sz w:val="28"/>
        </w:rPr>
        <w:t>1</w:t>
      </w:r>
      <w:r w:rsidRPr="00325736">
        <w:rPr>
          <w:sz w:val="28"/>
          <w:lang w:val="am-ET"/>
        </w:rPr>
        <w:t xml:space="preserve"> </w:t>
      </w:r>
      <w:r w:rsidRPr="00325736">
        <w:rPr>
          <w:sz w:val="28"/>
        </w:rPr>
        <w:t>là</w:t>
      </w:r>
      <w:r w:rsidRPr="00325736">
        <w:rPr>
          <w:i/>
          <w:sz w:val="28"/>
          <w:lang w:val="am-ET"/>
        </w:rPr>
        <w:t xml:space="preserve"> </w:t>
      </w:r>
      <w:r w:rsidR="00E37953" w:rsidRPr="00E93258">
        <w:rPr>
          <w:rFonts w:eastAsia="Calibri"/>
          <w:sz w:val="28"/>
          <w:szCs w:val="28"/>
          <w:lang w:val="am-ET"/>
        </w:rPr>
        <w:t>10.</w:t>
      </w:r>
      <w:r w:rsidR="00E37953" w:rsidRPr="00E93258">
        <w:rPr>
          <w:rFonts w:eastAsia="Calibri"/>
          <w:sz w:val="28"/>
          <w:szCs w:val="28"/>
        </w:rPr>
        <w:t>495</w:t>
      </w:r>
      <w:r w:rsidR="00E37953" w:rsidRPr="00E93258">
        <w:rPr>
          <w:rFonts w:eastAsia="Calibri"/>
          <w:sz w:val="28"/>
          <w:szCs w:val="28"/>
          <w:lang w:val="am-ET"/>
        </w:rPr>
        <w:t>.</w:t>
      </w:r>
      <w:r w:rsidR="00E37953" w:rsidRPr="00E93258">
        <w:rPr>
          <w:rFonts w:eastAsia="Calibri"/>
          <w:sz w:val="28"/>
          <w:szCs w:val="28"/>
        </w:rPr>
        <w:t>1</w:t>
      </w:r>
      <w:r w:rsidR="00E37953" w:rsidRPr="00E93258">
        <w:rPr>
          <w:rFonts w:eastAsia="Calibri"/>
          <w:sz w:val="28"/>
          <w:szCs w:val="28"/>
          <w:lang w:val="am-ET"/>
        </w:rPr>
        <w:t>21 triệu đồng</w:t>
      </w:r>
      <w:r w:rsidR="006F20EB" w:rsidRPr="00325736">
        <w:rPr>
          <w:sz w:val="28"/>
          <w:szCs w:val="28"/>
          <w:lang w:val="nl-NL"/>
        </w:rPr>
        <w:t xml:space="preserve">. Trong đó, </w:t>
      </w:r>
      <w:r w:rsidR="00E37953">
        <w:rPr>
          <w:rFonts w:eastAsia="Calibri"/>
          <w:sz w:val="28"/>
          <w:szCs w:val="28"/>
        </w:rPr>
        <w:t>d</w:t>
      </w:r>
      <w:r w:rsidR="00E37953" w:rsidRPr="00E93258">
        <w:rPr>
          <w:rFonts w:eastAsia="Calibri"/>
          <w:sz w:val="28"/>
          <w:szCs w:val="28"/>
          <w:lang w:val="am-ET"/>
        </w:rPr>
        <w:t>ự toán chi ngân sách địa phương năm 20</w:t>
      </w:r>
      <w:r w:rsidR="00E37953" w:rsidRPr="00E93258">
        <w:rPr>
          <w:rFonts w:eastAsia="Calibri"/>
          <w:sz w:val="28"/>
          <w:szCs w:val="28"/>
        </w:rPr>
        <w:t>21</w:t>
      </w:r>
      <w:r w:rsidR="00E37953" w:rsidRPr="00E93258">
        <w:rPr>
          <w:rFonts w:eastAsia="Calibri"/>
          <w:sz w:val="28"/>
          <w:szCs w:val="28"/>
          <w:lang w:val="am-ET"/>
        </w:rPr>
        <w:t xml:space="preserve"> </w:t>
      </w:r>
      <w:r w:rsidR="00E37953" w:rsidRPr="00E93258">
        <w:rPr>
          <w:sz w:val="28"/>
          <w:szCs w:val="28"/>
        </w:rPr>
        <w:t>Hội đồng nhân dân</w:t>
      </w:r>
      <w:r w:rsidR="00E37953" w:rsidRPr="00E93258">
        <w:rPr>
          <w:rFonts w:eastAsia="Calibri"/>
          <w:sz w:val="28"/>
          <w:szCs w:val="28"/>
          <w:lang w:val="am-ET"/>
        </w:rPr>
        <w:t xml:space="preserve"> tỉnh giao 7.842.265 triệu đồng; nhiệm vụ chi năm 20</w:t>
      </w:r>
      <w:r w:rsidR="00E37953" w:rsidRPr="00E93258">
        <w:rPr>
          <w:rFonts w:eastAsia="Calibri"/>
          <w:sz w:val="28"/>
          <w:szCs w:val="28"/>
        </w:rPr>
        <w:t>20</w:t>
      </w:r>
      <w:r w:rsidR="00E37953" w:rsidRPr="00E93258">
        <w:rPr>
          <w:rFonts w:eastAsia="Calibri"/>
          <w:sz w:val="28"/>
          <w:szCs w:val="28"/>
          <w:lang w:val="am-ET"/>
        </w:rPr>
        <w:t xml:space="preserve"> còn tiếp tục chuyển nguồn sang năm 20</w:t>
      </w:r>
      <w:r w:rsidR="00E37953" w:rsidRPr="00E93258">
        <w:rPr>
          <w:rFonts w:eastAsia="Calibri"/>
          <w:sz w:val="28"/>
          <w:szCs w:val="28"/>
        </w:rPr>
        <w:t>21 là</w:t>
      </w:r>
      <w:r w:rsidR="00E37953" w:rsidRPr="00E93258">
        <w:rPr>
          <w:rFonts w:eastAsia="Calibri"/>
          <w:sz w:val="28"/>
          <w:szCs w:val="28"/>
          <w:lang w:val="am-ET"/>
        </w:rPr>
        <w:t xml:space="preserve"> 2.591.891 triệu đồng; </w:t>
      </w:r>
      <w:r w:rsidR="00E37953" w:rsidRPr="00E93258">
        <w:rPr>
          <w:rFonts w:eastAsia="Calibri"/>
          <w:sz w:val="28"/>
          <w:szCs w:val="28"/>
        </w:rPr>
        <w:t>nguồn trung ương bổ sung mục tiêu trong năm 60.965 triệu đồng</w:t>
      </w:r>
      <w:r w:rsidRPr="00325736">
        <w:rPr>
          <w:sz w:val="28"/>
          <w:lang w:val="am-ET"/>
        </w:rPr>
        <w:t xml:space="preserve">. </w:t>
      </w:r>
      <w:r w:rsidR="00E37953" w:rsidRPr="00E93258">
        <w:rPr>
          <w:spacing w:val="-4"/>
          <w:sz w:val="28"/>
          <w:szCs w:val="28"/>
          <w:highlight w:val="white"/>
          <w:lang w:val="nl-NL"/>
        </w:rPr>
        <w:t xml:space="preserve">Ước thực hiện cả năm </w:t>
      </w:r>
      <w:r w:rsidR="00E37953" w:rsidRPr="00E93258">
        <w:rPr>
          <w:spacing w:val="-4"/>
          <w:sz w:val="28"/>
          <w:szCs w:val="28"/>
          <w:lang w:val="nl-NL"/>
        </w:rPr>
        <w:t>8.777.601 triệu đồng</w:t>
      </w:r>
      <w:r w:rsidR="00E37953" w:rsidRPr="00E93258">
        <w:rPr>
          <w:spacing w:val="-4"/>
          <w:sz w:val="28"/>
          <w:szCs w:val="28"/>
          <w:highlight w:val="white"/>
          <w:lang w:val="nl-NL"/>
        </w:rPr>
        <w:t xml:space="preserve">, </w:t>
      </w:r>
      <w:r w:rsidR="00E37953" w:rsidRPr="00E93258">
        <w:rPr>
          <w:bCs/>
          <w:sz w:val="28"/>
          <w:szCs w:val="28"/>
          <w:highlight w:val="white"/>
        </w:rPr>
        <w:t xml:space="preserve">đạt </w:t>
      </w:r>
      <w:r w:rsidR="00E37953" w:rsidRPr="00E93258">
        <w:rPr>
          <w:bCs/>
          <w:sz w:val="28"/>
          <w:szCs w:val="28"/>
        </w:rPr>
        <w:t xml:space="preserve">83,6% </w:t>
      </w:r>
      <w:r w:rsidR="00E37953" w:rsidRPr="00E93258">
        <w:rPr>
          <w:spacing w:val="-4"/>
          <w:sz w:val="28"/>
          <w:szCs w:val="28"/>
          <w:highlight w:val="white"/>
          <w:lang w:val="nl-NL"/>
        </w:rPr>
        <w:t>nhiệm vụ chi</w:t>
      </w:r>
      <w:r w:rsidR="00E37953" w:rsidRPr="00E93258">
        <w:rPr>
          <w:spacing w:val="-4"/>
          <w:sz w:val="28"/>
          <w:szCs w:val="28"/>
          <w:lang w:val="nl-NL"/>
        </w:rPr>
        <w:t xml:space="preserve"> và bằng 109,5%</w:t>
      </w:r>
      <w:r w:rsidR="00E37953" w:rsidRPr="00E93258">
        <w:rPr>
          <w:bCs/>
          <w:sz w:val="28"/>
          <w:szCs w:val="28"/>
          <w:lang w:val="nl-NL"/>
        </w:rPr>
        <w:t xml:space="preserve"> </w:t>
      </w:r>
      <w:r w:rsidR="00E37953" w:rsidRPr="00E93258">
        <w:rPr>
          <w:bCs/>
          <w:sz w:val="28"/>
          <w:szCs w:val="28"/>
          <w:highlight w:val="white"/>
        </w:rPr>
        <w:t>so cùng kỳ năm trước</w:t>
      </w:r>
      <w:r w:rsidR="00E37953">
        <w:rPr>
          <w:bCs/>
          <w:sz w:val="28"/>
          <w:szCs w:val="28"/>
        </w:rPr>
        <w:t>. Trong đó:</w:t>
      </w:r>
    </w:p>
    <w:p w14:paraId="2FFDB8BF" w14:textId="7A0E4D42" w:rsidR="00E37953" w:rsidRDefault="00E37953" w:rsidP="0011698D">
      <w:pPr>
        <w:spacing w:before="120" w:after="120" w:line="264" w:lineRule="auto"/>
        <w:ind w:firstLine="709"/>
        <w:jc w:val="both"/>
        <w:rPr>
          <w:i/>
          <w:sz w:val="28"/>
          <w:szCs w:val="28"/>
        </w:rPr>
      </w:pPr>
      <w:r>
        <w:rPr>
          <w:bCs/>
          <w:sz w:val="28"/>
          <w:szCs w:val="28"/>
        </w:rPr>
        <w:t xml:space="preserve">- Chi thường xuyên: </w:t>
      </w:r>
      <w:r>
        <w:rPr>
          <w:spacing w:val="-2"/>
          <w:sz w:val="28"/>
          <w:szCs w:val="28"/>
        </w:rPr>
        <w:t>t</w:t>
      </w:r>
      <w:r w:rsidRPr="00E93258">
        <w:rPr>
          <w:spacing w:val="-2"/>
          <w:sz w:val="28"/>
          <w:szCs w:val="28"/>
          <w:lang w:val="am-ET"/>
        </w:rPr>
        <w:t xml:space="preserve">hực hiện </w:t>
      </w:r>
      <w:r w:rsidRPr="00E93258">
        <w:rPr>
          <w:spacing w:val="-2"/>
          <w:sz w:val="28"/>
          <w:szCs w:val="28"/>
        </w:rPr>
        <w:t>10</w:t>
      </w:r>
      <w:r w:rsidRPr="00E93258">
        <w:rPr>
          <w:spacing w:val="-2"/>
          <w:sz w:val="28"/>
          <w:szCs w:val="28"/>
          <w:lang w:val="am-ET"/>
        </w:rPr>
        <w:t xml:space="preserve"> tháng 3.793.910 </w:t>
      </w:r>
      <w:r w:rsidRPr="00E93258">
        <w:rPr>
          <w:bCs/>
          <w:sz w:val="28"/>
          <w:szCs w:val="28"/>
        </w:rPr>
        <w:t>triệu đồng, đạt</w:t>
      </w:r>
      <w:r w:rsidRPr="00E93258">
        <w:t xml:space="preserve"> </w:t>
      </w:r>
      <w:r w:rsidRPr="00E93258">
        <w:rPr>
          <w:bCs/>
          <w:sz w:val="28"/>
          <w:szCs w:val="28"/>
        </w:rPr>
        <w:t>73,1% nhiệm vụ chi; ước</w:t>
      </w:r>
      <w:r w:rsidRPr="00E93258">
        <w:rPr>
          <w:spacing w:val="-2"/>
          <w:sz w:val="28"/>
          <w:szCs w:val="28"/>
          <w:lang w:val="am-ET"/>
        </w:rPr>
        <w:t xml:space="preserve"> thực hiện </w:t>
      </w:r>
      <w:r w:rsidRPr="00E93258">
        <w:rPr>
          <w:spacing w:val="-2"/>
          <w:sz w:val="28"/>
          <w:szCs w:val="28"/>
        </w:rPr>
        <w:t xml:space="preserve">cả năm 4.918.324 </w:t>
      </w:r>
      <w:r w:rsidRPr="00E93258">
        <w:rPr>
          <w:spacing w:val="-2"/>
          <w:sz w:val="28"/>
          <w:szCs w:val="28"/>
          <w:lang w:val="am-ET"/>
        </w:rPr>
        <w:t>triệu đồng</w:t>
      </w:r>
      <w:r w:rsidRPr="00E93258">
        <w:rPr>
          <w:spacing w:val="-2"/>
          <w:sz w:val="28"/>
          <w:szCs w:val="28"/>
        </w:rPr>
        <w:t>,</w:t>
      </w:r>
      <w:r w:rsidRPr="00E93258">
        <w:rPr>
          <w:spacing w:val="-2"/>
          <w:sz w:val="28"/>
          <w:szCs w:val="28"/>
          <w:lang w:val="am-ET"/>
        </w:rPr>
        <w:t xml:space="preserve"> đạt 94,8% nhiệm vụ chi</w:t>
      </w:r>
      <w:r w:rsidRPr="00E93258">
        <w:rPr>
          <w:spacing w:val="-2"/>
          <w:sz w:val="28"/>
          <w:szCs w:val="28"/>
        </w:rPr>
        <w:t xml:space="preserve">, </w:t>
      </w:r>
      <w:r w:rsidRPr="00E93258">
        <w:rPr>
          <w:sz w:val="28"/>
          <w:szCs w:val="28"/>
          <w:lang w:val="am-ET"/>
        </w:rPr>
        <w:t>bằng 96,2% so cùng kỳ năm trước</w:t>
      </w:r>
      <w:r w:rsidRPr="00E37953">
        <w:rPr>
          <w:sz w:val="28"/>
          <w:szCs w:val="28"/>
          <w:vertAlign w:val="superscript"/>
        </w:rPr>
        <w:t>(</w:t>
      </w:r>
      <w:r>
        <w:rPr>
          <w:rStyle w:val="FootnoteReference"/>
          <w:sz w:val="28"/>
          <w:szCs w:val="28"/>
        </w:rPr>
        <w:footnoteReference w:id="8"/>
      </w:r>
      <w:r w:rsidRPr="00E37953">
        <w:rPr>
          <w:sz w:val="28"/>
          <w:szCs w:val="28"/>
          <w:vertAlign w:val="superscript"/>
        </w:rPr>
        <w:t>)</w:t>
      </w:r>
      <w:r w:rsidRPr="00E93258">
        <w:rPr>
          <w:sz w:val="28"/>
          <w:szCs w:val="28"/>
          <w:lang w:val="nl-NL"/>
        </w:rPr>
        <w:t>. Chi từ nguồn trung ương bổ sung mục tiêu 362.317 triệu đồng, đạt 82,5% nhiệm vụ chi</w:t>
      </w:r>
      <w:r w:rsidRPr="00E93258">
        <w:rPr>
          <w:i/>
          <w:sz w:val="28"/>
          <w:szCs w:val="28"/>
          <w:lang w:val="nl-NL"/>
        </w:rPr>
        <w:t>.</w:t>
      </w:r>
      <w:r>
        <w:rPr>
          <w:i/>
          <w:sz w:val="28"/>
          <w:szCs w:val="28"/>
        </w:rPr>
        <w:t xml:space="preserve"> </w:t>
      </w:r>
    </w:p>
    <w:p w14:paraId="2E8EE4B5" w14:textId="5B1D3ED6" w:rsidR="009A7DBF" w:rsidRPr="00325736" w:rsidRDefault="00E37953" w:rsidP="0011698D">
      <w:pPr>
        <w:spacing w:before="120" w:after="120" w:line="264" w:lineRule="auto"/>
        <w:ind w:firstLine="709"/>
        <w:jc w:val="both"/>
        <w:rPr>
          <w:sz w:val="28"/>
          <w:lang w:val="am-ET"/>
        </w:rPr>
      </w:pPr>
      <w:r>
        <w:rPr>
          <w:bCs/>
          <w:sz w:val="28"/>
          <w:szCs w:val="28"/>
        </w:rPr>
        <w:t xml:space="preserve">- Chi đầu tư phát triển: </w:t>
      </w:r>
      <w:r>
        <w:rPr>
          <w:iCs/>
          <w:sz w:val="28"/>
          <w:szCs w:val="28"/>
        </w:rPr>
        <w:t>t</w:t>
      </w:r>
      <w:r w:rsidRPr="00E93258">
        <w:rPr>
          <w:iCs/>
          <w:sz w:val="28"/>
          <w:szCs w:val="28"/>
          <w:lang w:val="am-ET"/>
        </w:rPr>
        <w:t xml:space="preserve">hực hiện </w:t>
      </w:r>
      <w:r w:rsidRPr="00E93258">
        <w:rPr>
          <w:iCs/>
          <w:sz w:val="28"/>
          <w:szCs w:val="28"/>
        </w:rPr>
        <w:t>10</w:t>
      </w:r>
      <w:r w:rsidRPr="00E93258">
        <w:rPr>
          <w:iCs/>
          <w:sz w:val="28"/>
          <w:szCs w:val="28"/>
          <w:lang w:val="am-ET"/>
        </w:rPr>
        <w:t xml:space="preserve"> tháng 2.193.585 triệu đồng</w:t>
      </w:r>
      <w:r w:rsidRPr="00E93258">
        <w:rPr>
          <w:iCs/>
          <w:sz w:val="28"/>
          <w:szCs w:val="28"/>
        </w:rPr>
        <w:t>,</w:t>
      </w:r>
      <w:r w:rsidRPr="00E93258">
        <w:rPr>
          <w:iCs/>
          <w:sz w:val="28"/>
          <w:szCs w:val="28"/>
          <w:lang w:val="am-ET"/>
        </w:rPr>
        <w:t xml:space="preserve"> đạt 60,9% nhiệm vụ chi. Ước thực hiện </w:t>
      </w:r>
      <w:r w:rsidRPr="00E93258">
        <w:rPr>
          <w:iCs/>
          <w:sz w:val="28"/>
          <w:szCs w:val="28"/>
        </w:rPr>
        <w:t xml:space="preserve">năm 2021 là 3.344.322 </w:t>
      </w:r>
      <w:r w:rsidRPr="00E93258">
        <w:rPr>
          <w:iCs/>
          <w:sz w:val="28"/>
          <w:szCs w:val="28"/>
          <w:lang w:val="am-ET"/>
        </w:rPr>
        <w:t>triệu đồng</w:t>
      </w:r>
      <w:r w:rsidRPr="00E93258">
        <w:rPr>
          <w:iCs/>
          <w:sz w:val="28"/>
          <w:szCs w:val="28"/>
        </w:rPr>
        <w:t>,</w:t>
      </w:r>
      <w:r w:rsidRPr="00E93258">
        <w:rPr>
          <w:iCs/>
          <w:sz w:val="28"/>
          <w:szCs w:val="28"/>
          <w:lang w:val="am-ET"/>
        </w:rPr>
        <w:t xml:space="preserve"> đạt </w:t>
      </w:r>
      <w:r w:rsidRPr="00E93258">
        <w:rPr>
          <w:iCs/>
          <w:sz w:val="28"/>
          <w:szCs w:val="28"/>
        </w:rPr>
        <w:t>92,8</w:t>
      </w:r>
      <w:r w:rsidRPr="00E93258">
        <w:rPr>
          <w:iCs/>
          <w:sz w:val="28"/>
          <w:szCs w:val="28"/>
          <w:lang w:val="am-ET"/>
        </w:rPr>
        <w:t xml:space="preserve">% nhiệm vụ chi, bằng </w:t>
      </w:r>
      <w:r w:rsidRPr="00E93258">
        <w:rPr>
          <w:iCs/>
          <w:sz w:val="28"/>
          <w:szCs w:val="28"/>
        </w:rPr>
        <w:t>116</w:t>
      </w:r>
      <w:r w:rsidRPr="00E93258">
        <w:rPr>
          <w:iCs/>
          <w:sz w:val="28"/>
          <w:szCs w:val="28"/>
          <w:lang w:val="am-ET"/>
        </w:rPr>
        <w:t xml:space="preserve">% so cùng kỳ năm trước </w:t>
      </w:r>
      <w:r w:rsidRPr="00E93258">
        <w:rPr>
          <w:i/>
          <w:iCs/>
          <w:sz w:val="28"/>
          <w:szCs w:val="28"/>
        </w:rPr>
        <w:t xml:space="preserve">(Loại trừ tạm ứng chưa thu hồi năm </w:t>
      </w:r>
      <w:r w:rsidRPr="00E93258">
        <w:rPr>
          <w:i/>
          <w:iCs/>
          <w:sz w:val="28"/>
          <w:szCs w:val="28"/>
        </w:rPr>
        <w:lastRenderedPageBreak/>
        <w:t xml:space="preserve">trước chuyển sang, vốn kéo dài (vốn nước ngoài, Trung ương bổ sung mục tiêu), </w:t>
      </w:r>
      <w:r w:rsidRPr="00E93258">
        <w:rPr>
          <w:sz w:val="28"/>
          <w:szCs w:val="28"/>
        </w:rPr>
        <w:t>ước thực hiện đạt 87,9%</w:t>
      </w:r>
      <w:r>
        <w:rPr>
          <w:sz w:val="28"/>
          <w:szCs w:val="28"/>
        </w:rPr>
        <w:t xml:space="preserve">. </w:t>
      </w:r>
    </w:p>
    <w:p w14:paraId="7F22E9D1" w14:textId="730ED54A" w:rsidR="00B21F68" w:rsidRPr="00170BA1" w:rsidRDefault="000D475C" w:rsidP="0011698D">
      <w:pPr>
        <w:spacing w:before="120" w:after="120" w:line="264" w:lineRule="auto"/>
        <w:ind w:firstLine="709"/>
        <w:jc w:val="both"/>
        <w:rPr>
          <w:rFonts w:eastAsia="Calibri"/>
          <w:color w:val="FF0000"/>
          <w:spacing w:val="-2"/>
          <w:sz w:val="28"/>
          <w:szCs w:val="28"/>
          <w:lang w:val="es-ES"/>
        </w:rPr>
      </w:pPr>
      <w:r w:rsidRPr="00325736">
        <w:rPr>
          <w:sz w:val="28"/>
          <w:lang w:val="am-ET"/>
        </w:rPr>
        <w:t xml:space="preserve">Ban Kinh tế - Ngân sách </w:t>
      </w:r>
      <w:r w:rsidR="00C87D08" w:rsidRPr="00325736">
        <w:rPr>
          <w:sz w:val="28"/>
          <w:lang w:val="am-ET"/>
        </w:rPr>
        <w:t xml:space="preserve">cơ bản </w:t>
      </w:r>
      <w:r w:rsidRPr="00325736">
        <w:rPr>
          <w:sz w:val="28"/>
          <w:lang w:val="am-ET"/>
        </w:rPr>
        <w:t xml:space="preserve">thống nhất với </w:t>
      </w:r>
      <w:r w:rsidR="003427EE" w:rsidRPr="00325736">
        <w:rPr>
          <w:sz w:val="28"/>
          <w:lang w:val="am-ET"/>
        </w:rPr>
        <w:t xml:space="preserve">đánh giá của Ủy ban nhân dân tỉnh về </w:t>
      </w:r>
      <w:r w:rsidRPr="00325736">
        <w:rPr>
          <w:sz w:val="28"/>
          <w:lang w:val="am-ET"/>
        </w:rPr>
        <w:t>tình hình</w:t>
      </w:r>
      <w:r w:rsidR="007F69ED" w:rsidRPr="00325736">
        <w:rPr>
          <w:sz w:val="28"/>
          <w:lang w:val="am-ET"/>
        </w:rPr>
        <w:t xml:space="preserve"> thực hiện</w:t>
      </w:r>
      <w:r w:rsidRPr="00325736">
        <w:rPr>
          <w:sz w:val="28"/>
          <w:lang w:val="am-ET"/>
        </w:rPr>
        <w:t xml:space="preserve"> chi ngân sách </w:t>
      </w:r>
      <w:r w:rsidR="003427EE" w:rsidRPr="00325736">
        <w:rPr>
          <w:sz w:val="28"/>
          <w:lang w:val="am-ET"/>
        </w:rPr>
        <w:t>địa phương năm 20</w:t>
      </w:r>
      <w:r w:rsidR="000D220B" w:rsidRPr="00325736">
        <w:rPr>
          <w:sz w:val="28"/>
          <w:lang w:val="am-ET"/>
        </w:rPr>
        <w:t>2</w:t>
      </w:r>
      <w:r w:rsidR="00E37953">
        <w:rPr>
          <w:sz w:val="28"/>
        </w:rPr>
        <w:t>1</w:t>
      </w:r>
      <w:r w:rsidRPr="00325736">
        <w:rPr>
          <w:sz w:val="28"/>
          <w:lang w:val="am-ET"/>
        </w:rPr>
        <w:t xml:space="preserve">. Mặc dù, Ủy ban nhân dân tỉnh đã </w:t>
      </w:r>
      <w:r w:rsidR="00AE787A" w:rsidRPr="00325736">
        <w:rPr>
          <w:sz w:val="28"/>
          <w:lang w:val="am-ET"/>
        </w:rPr>
        <w:t xml:space="preserve">chỉ đạo </w:t>
      </w:r>
      <w:r w:rsidRPr="00325736">
        <w:rPr>
          <w:sz w:val="28"/>
          <w:lang w:val="am-ET"/>
        </w:rPr>
        <w:t xml:space="preserve">quyết liệt </w:t>
      </w:r>
      <w:r w:rsidR="00951421">
        <w:rPr>
          <w:sz w:val="28"/>
        </w:rPr>
        <w:t>trong việc điều hành ngân sách</w:t>
      </w:r>
      <w:r w:rsidR="003427EE" w:rsidRPr="00325736">
        <w:rPr>
          <w:sz w:val="28"/>
          <w:lang w:val="am-ET"/>
        </w:rPr>
        <w:t xml:space="preserve">, </w:t>
      </w:r>
      <w:r w:rsidR="00C87D08" w:rsidRPr="00325736">
        <w:rPr>
          <w:sz w:val="28"/>
          <w:lang w:val="am-ET"/>
        </w:rPr>
        <w:t xml:space="preserve">trình cấp thẩm quyền điều chỉnh, điều chuyển </w:t>
      </w:r>
      <w:r w:rsidR="00951421">
        <w:rPr>
          <w:sz w:val="28"/>
        </w:rPr>
        <w:t xml:space="preserve">dự toán, kế hoạch vốn </w:t>
      </w:r>
      <w:r w:rsidR="00C87D08" w:rsidRPr="00325736">
        <w:rPr>
          <w:sz w:val="28"/>
          <w:lang w:val="am-ET"/>
        </w:rPr>
        <w:t>cho phù hợp với</w:t>
      </w:r>
      <w:r w:rsidR="00951421">
        <w:rPr>
          <w:sz w:val="28"/>
        </w:rPr>
        <w:t xml:space="preserve"> nhu cầu thực tế từng đơn vị, địa phương</w:t>
      </w:r>
      <w:r w:rsidR="00951421">
        <w:rPr>
          <w:sz w:val="28"/>
          <w:lang w:val="am-ET"/>
        </w:rPr>
        <w:t>.</w:t>
      </w:r>
      <w:r w:rsidR="007F69ED" w:rsidRPr="00325736">
        <w:rPr>
          <w:sz w:val="28"/>
          <w:lang w:val="am-ET"/>
        </w:rPr>
        <w:t xml:space="preserve"> </w:t>
      </w:r>
      <w:r w:rsidR="00951421" w:rsidRPr="00325736">
        <w:rPr>
          <w:sz w:val="28"/>
          <w:lang w:val="am-ET"/>
        </w:rPr>
        <w:t>Qua</w:t>
      </w:r>
      <w:r w:rsidR="00951421">
        <w:rPr>
          <w:sz w:val="28"/>
        </w:rPr>
        <w:t xml:space="preserve"> công tác</w:t>
      </w:r>
      <w:r w:rsidR="00951421" w:rsidRPr="00325736">
        <w:rPr>
          <w:sz w:val="28"/>
          <w:lang w:val="am-ET"/>
        </w:rPr>
        <w:t xml:space="preserve"> </w:t>
      </w:r>
      <w:r w:rsidR="00E37953">
        <w:rPr>
          <w:sz w:val="28"/>
        </w:rPr>
        <w:t>giám</w:t>
      </w:r>
      <w:r w:rsidR="00545847" w:rsidRPr="00325736">
        <w:rPr>
          <w:sz w:val="28"/>
          <w:lang w:val="am-ET"/>
        </w:rPr>
        <w:t xml:space="preserve"> sát</w:t>
      </w:r>
      <w:r w:rsidR="00951421">
        <w:rPr>
          <w:sz w:val="28"/>
        </w:rPr>
        <w:t xml:space="preserve"> </w:t>
      </w:r>
      <w:r w:rsidR="00545847" w:rsidRPr="00325736">
        <w:rPr>
          <w:sz w:val="28"/>
          <w:lang w:val="am-ET"/>
        </w:rPr>
        <w:t xml:space="preserve">tình hình thực hiện </w:t>
      </w:r>
      <w:r w:rsidR="00E37953">
        <w:rPr>
          <w:sz w:val="28"/>
        </w:rPr>
        <w:t>nhiệm vụ kinh tế - xã hội năm 2021</w:t>
      </w:r>
      <w:r w:rsidR="00545847" w:rsidRPr="00325736">
        <w:rPr>
          <w:sz w:val="28"/>
          <w:lang w:val="am-ET"/>
        </w:rPr>
        <w:t xml:space="preserve">, </w:t>
      </w:r>
      <w:r w:rsidR="00D17981" w:rsidRPr="00325736">
        <w:rPr>
          <w:sz w:val="28"/>
          <w:szCs w:val="28"/>
          <w:lang w:val="pt-BR"/>
        </w:rPr>
        <w:t xml:space="preserve">Ban Kinh tế - Ngân sách </w:t>
      </w:r>
      <w:r w:rsidR="00545847" w:rsidRPr="00325736">
        <w:rPr>
          <w:sz w:val="28"/>
          <w:szCs w:val="28"/>
          <w:lang w:val="pt-BR"/>
        </w:rPr>
        <w:t>cho rằng</w:t>
      </w:r>
      <w:r w:rsidR="00C87D08" w:rsidRPr="00325736">
        <w:rPr>
          <w:sz w:val="28"/>
          <w:szCs w:val="28"/>
          <w:lang w:val="pt-BR"/>
        </w:rPr>
        <w:t xml:space="preserve"> </w:t>
      </w:r>
      <w:r w:rsidR="00545847" w:rsidRPr="00325736">
        <w:rPr>
          <w:sz w:val="28"/>
          <w:szCs w:val="28"/>
          <w:lang w:val="pt-BR"/>
        </w:rPr>
        <w:t>ngoài những nội dung Ủy ban nhân dân tỉnh đã nêu tại Báo cáo</w:t>
      </w:r>
      <w:r w:rsidR="00D96713" w:rsidRPr="00325736">
        <w:rPr>
          <w:sz w:val="28"/>
          <w:szCs w:val="28"/>
          <w:lang w:val="pt-BR"/>
        </w:rPr>
        <w:t xml:space="preserve">, </w:t>
      </w:r>
      <w:r w:rsidR="00951421">
        <w:rPr>
          <w:sz w:val="28"/>
          <w:szCs w:val="28"/>
        </w:rPr>
        <w:t>còn</w:t>
      </w:r>
      <w:r w:rsidR="00545847" w:rsidRPr="00325736">
        <w:rPr>
          <w:sz w:val="28"/>
          <w:szCs w:val="28"/>
          <w:lang w:val="pt-BR"/>
        </w:rPr>
        <w:t xml:space="preserve"> một số hạn chế, vướng mắc như: </w:t>
      </w:r>
      <w:r w:rsidR="00B21F68">
        <w:rPr>
          <w:rFonts w:eastAsia="Calibri"/>
          <w:spacing w:val="-2"/>
          <w:sz w:val="28"/>
          <w:szCs w:val="28"/>
          <w:lang w:val="es-ES"/>
        </w:rPr>
        <w:t xml:space="preserve">Tiến độ giải ngân một số dự án </w:t>
      </w:r>
      <w:r w:rsidR="00B21F68" w:rsidRPr="0013412C">
        <w:rPr>
          <w:rFonts w:eastAsia="Calibri"/>
          <w:spacing w:val="-2"/>
          <w:sz w:val="28"/>
          <w:szCs w:val="28"/>
          <w:lang w:val="es-ES"/>
        </w:rPr>
        <w:t>sử dụng nguồn vốn ngân sách Trung ương</w:t>
      </w:r>
      <w:r w:rsidR="00B21F68">
        <w:rPr>
          <w:rFonts w:eastAsia="Calibri"/>
          <w:spacing w:val="-2"/>
          <w:sz w:val="28"/>
          <w:szCs w:val="28"/>
          <w:lang w:val="es-ES"/>
        </w:rPr>
        <w:t xml:space="preserve"> </w:t>
      </w:r>
      <w:r w:rsidR="00DB2BEE">
        <w:rPr>
          <w:rFonts w:eastAsia="Calibri"/>
          <w:spacing w:val="-2"/>
          <w:sz w:val="28"/>
          <w:szCs w:val="28"/>
          <w:lang w:val="es-ES"/>
        </w:rPr>
        <w:t>chậm</w:t>
      </w:r>
      <w:r w:rsidR="00DB2BEE" w:rsidRPr="000624E3">
        <w:rPr>
          <w:rFonts w:eastAsia="Calibri"/>
          <w:i/>
          <w:spacing w:val="-2"/>
          <w:sz w:val="28"/>
          <w:szCs w:val="28"/>
          <w:lang w:val="es-ES"/>
        </w:rPr>
        <w:t xml:space="preserve"> </w:t>
      </w:r>
      <w:r w:rsidR="00B21F68" w:rsidRPr="000624E3">
        <w:rPr>
          <w:rFonts w:eastAsia="Calibri"/>
          <w:i/>
          <w:spacing w:val="-2"/>
          <w:sz w:val="28"/>
          <w:szCs w:val="28"/>
          <w:lang w:val="es-ES"/>
        </w:rPr>
        <w:t>(dự án ODA)</w:t>
      </w:r>
      <w:r w:rsidR="00B21F68">
        <w:rPr>
          <w:rFonts w:eastAsia="Calibri"/>
          <w:spacing w:val="-2"/>
          <w:sz w:val="28"/>
          <w:szCs w:val="28"/>
        </w:rPr>
        <w:t>;</w:t>
      </w:r>
      <w:r w:rsidR="00B21F68">
        <w:rPr>
          <w:rFonts w:eastAsia="Calibri"/>
          <w:spacing w:val="-2"/>
          <w:sz w:val="28"/>
          <w:szCs w:val="28"/>
          <w:lang w:val="es-ES"/>
        </w:rPr>
        <w:t xml:space="preserve"> </w:t>
      </w:r>
      <w:r w:rsidR="00B21F68">
        <w:rPr>
          <w:rFonts w:eastAsia="Calibri"/>
          <w:spacing w:val="-2"/>
          <w:sz w:val="28"/>
          <w:szCs w:val="28"/>
        </w:rPr>
        <w:t>c</w:t>
      </w:r>
      <w:r w:rsidR="00B21F68" w:rsidRPr="0013412C">
        <w:rPr>
          <w:sz w:val="28"/>
          <w:szCs w:val="28"/>
          <w:lang w:val="it-IT"/>
        </w:rPr>
        <w:t>ông tác bồi thường, giải phóng mặt bằng còn gặp nhiều khó khăn, vướng mắc, kéo dài, làm chậm tiế</w:t>
      </w:r>
      <w:r w:rsidR="00B21F68">
        <w:rPr>
          <w:sz w:val="28"/>
          <w:szCs w:val="28"/>
          <w:lang w:val="it-IT"/>
        </w:rPr>
        <w:t>n độ thực hiện các dự án đầu tư</w:t>
      </w:r>
      <w:r w:rsidR="00B21F68" w:rsidRPr="00DB2BEE">
        <w:rPr>
          <w:sz w:val="28"/>
          <w:szCs w:val="28"/>
          <w:lang w:val="it-IT"/>
        </w:rPr>
        <w:t xml:space="preserve">; </w:t>
      </w:r>
      <w:r w:rsidR="00700261">
        <w:rPr>
          <w:sz w:val="28"/>
          <w:szCs w:val="28"/>
        </w:rPr>
        <w:t>c</w:t>
      </w:r>
      <w:r w:rsidR="00B21F68" w:rsidRPr="0013412C">
        <w:rPr>
          <w:sz w:val="28"/>
          <w:szCs w:val="28"/>
          <w:lang w:val="it-IT"/>
        </w:rPr>
        <w:t xml:space="preserve">ông tác </w:t>
      </w:r>
      <w:r w:rsidR="00B21F68">
        <w:rPr>
          <w:sz w:val="28"/>
          <w:szCs w:val="28"/>
          <w:lang w:val="it-IT"/>
        </w:rPr>
        <w:t>lập và giao dự toán một số nhiệm vụ chi cho các</w:t>
      </w:r>
      <w:r w:rsidR="00B21F68" w:rsidRPr="0013412C">
        <w:rPr>
          <w:sz w:val="28"/>
          <w:szCs w:val="28"/>
          <w:lang w:val="it-IT"/>
        </w:rPr>
        <w:t xml:space="preserve"> Sở</w:t>
      </w:r>
      <w:r w:rsidR="00B21F68">
        <w:rPr>
          <w:sz w:val="28"/>
          <w:szCs w:val="28"/>
          <w:lang w:val="it-IT"/>
        </w:rPr>
        <w:t>,</w:t>
      </w:r>
      <w:r w:rsidR="00B21F68" w:rsidRPr="0013412C">
        <w:rPr>
          <w:sz w:val="28"/>
          <w:szCs w:val="28"/>
          <w:lang w:val="it-IT"/>
        </w:rPr>
        <w:t xml:space="preserve"> ngành </w:t>
      </w:r>
      <w:r w:rsidR="00B21F68">
        <w:rPr>
          <w:sz w:val="28"/>
          <w:szCs w:val="28"/>
          <w:lang w:val="it-IT"/>
        </w:rPr>
        <w:t xml:space="preserve">chưa phù hợp, thiếu tính khả thi và khó thực hiện, </w:t>
      </w:r>
      <w:r w:rsidR="00B21F68" w:rsidRPr="0013412C">
        <w:rPr>
          <w:sz w:val="28"/>
          <w:szCs w:val="28"/>
          <w:lang w:val="it-IT"/>
        </w:rPr>
        <w:t xml:space="preserve">phải điều </w:t>
      </w:r>
      <w:r w:rsidR="00B21F68" w:rsidRPr="001D2C0B">
        <w:rPr>
          <w:sz w:val="28"/>
          <w:szCs w:val="28"/>
          <w:lang w:val="it-IT"/>
        </w:rPr>
        <w:t>chỉnh dự toán.</w:t>
      </w:r>
      <w:r w:rsidR="00B21F68" w:rsidRPr="001D2C0B">
        <w:rPr>
          <w:rFonts w:eastAsia="Calibri"/>
          <w:spacing w:val="-2"/>
          <w:sz w:val="28"/>
          <w:szCs w:val="28"/>
          <w:vertAlign w:val="superscript"/>
          <w:lang w:val="es-ES"/>
        </w:rPr>
        <w:t>(</w:t>
      </w:r>
      <w:r w:rsidR="00B21F68" w:rsidRPr="001D2C0B">
        <w:rPr>
          <w:rStyle w:val="FootnoteReference"/>
          <w:rFonts w:eastAsia="Calibri"/>
          <w:spacing w:val="-2"/>
          <w:szCs w:val="28"/>
          <w:lang w:val="es-ES"/>
        </w:rPr>
        <w:footnoteReference w:id="9"/>
      </w:r>
      <w:r w:rsidR="00B21F68" w:rsidRPr="001D2C0B">
        <w:rPr>
          <w:rFonts w:eastAsia="Calibri"/>
          <w:spacing w:val="-2"/>
          <w:sz w:val="28"/>
          <w:szCs w:val="28"/>
          <w:vertAlign w:val="superscript"/>
          <w:lang w:val="es-ES"/>
        </w:rPr>
        <w:t>)</w:t>
      </w:r>
    </w:p>
    <w:p w14:paraId="2E8EE4B8" w14:textId="5BE0377F" w:rsidR="00024758" w:rsidRPr="00842BE4" w:rsidRDefault="002C5BF4" w:rsidP="0011698D">
      <w:pPr>
        <w:spacing w:before="120" w:after="120" w:line="264" w:lineRule="auto"/>
        <w:ind w:firstLine="709"/>
        <w:jc w:val="both"/>
        <w:rPr>
          <w:b/>
          <w:sz w:val="28"/>
        </w:rPr>
      </w:pPr>
      <w:r w:rsidRPr="00325736">
        <w:rPr>
          <w:b/>
          <w:sz w:val="28"/>
          <w:lang w:val="pt-BR"/>
        </w:rPr>
        <w:tab/>
        <w:t xml:space="preserve">2. </w:t>
      </w:r>
      <w:r w:rsidR="00976EB1" w:rsidRPr="00325736">
        <w:rPr>
          <w:b/>
          <w:sz w:val="28"/>
          <w:lang w:val="am-ET"/>
        </w:rPr>
        <w:t xml:space="preserve">Nội dung </w:t>
      </w:r>
      <w:r w:rsidR="004A4A62" w:rsidRPr="00325736">
        <w:rPr>
          <w:b/>
          <w:sz w:val="28"/>
          <w:lang w:val="am-ET"/>
        </w:rPr>
        <w:t>dự thảo nghị quyết</w:t>
      </w:r>
      <w:r w:rsidR="00976EB1" w:rsidRPr="00325736">
        <w:rPr>
          <w:b/>
          <w:sz w:val="28"/>
          <w:lang w:val="am-ET"/>
        </w:rPr>
        <w:t xml:space="preserve"> về</w:t>
      </w:r>
      <w:r w:rsidR="004A4A62" w:rsidRPr="00325736">
        <w:rPr>
          <w:b/>
          <w:sz w:val="28"/>
          <w:lang w:val="am-ET"/>
        </w:rPr>
        <w:t xml:space="preserve"> </w:t>
      </w:r>
      <w:r w:rsidR="008B75B8" w:rsidRPr="00325736">
        <w:rPr>
          <w:b/>
          <w:sz w:val="28"/>
          <w:lang w:val="am-ET"/>
        </w:rPr>
        <w:t xml:space="preserve">dự toán thu, chi ngân sách </w:t>
      </w:r>
      <w:r w:rsidR="00C13330" w:rsidRPr="00325736">
        <w:rPr>
          <w:b/>
          <w:sz w:val="28"/>
          <w:lang w:val="am-ET"/>
        </w:rPr>
        <w:t xml:space="preserve">địa phương </w:t>
      </w:r>
      <w:r w:rsidR="008B75B8" w:rsidRPr="00325736">
        <w:rPr>
          <w:b/>
          <w:sz w:val="28"/>
          <w:lang w:val="am-ET"/>
        </w:rPr>
        <w:t xml:space="preserve">và </w:t>
      </w:r>
      <w:r w:rsidR="00024758" w:rsidRPr="00325736">
        <w:rPr>
          <w:b/>
          <w:sz w:val="28"/>
          <w:lang w:val="am-ET"/>
        </w:rPr>
        <w:t xml:space="preserve">phân bổ </w:t>
      </w:r>
      <w:r w:rsidR="008B75B8" w:rsidRPr="00325736">
        <w:rPr>
          <w:b/>
          <w:sz w:val="28"/>
          <w:lang w:val="am-ET"/>
        </w:rPr>
        <w:t>ngân sách</w:t>
      </w:r>
      <w:r w:rsidR="00024758" w:rsidRPr="00325736">
        <w:rPr>
          <w:b/>
          <w:sz w:val="28"/>
          <w:lang w:val="am-ET"/>
        </w:rPr>
        <w:t xml:space="preserve"> </w:t>
      </w:r>
      <w:r w:rsidR="00C13330" w:rsidRPr="00325736">
        <w:rPr>
          <w:b/>
          <w:sz w:val="28"/>
          <w:lang w:val="am-ET"/>
        </w:rPr>
        <w:t xml:space="preserve">cấp tỉnh </w:t>
      </w:r>
      <w:r w:rsidR="00024758" w:rsidRPr="00325736">
        <w:rPr>
          <w:b/>
          <w:sz w:val="28"/>
          <w:lang w:val="am-ET"/>
        </w:rPr>
        <w:t>năm 20</w:t>
      </w:r>
      <w:r w:rsidR="00045B58" w:rsidRPr="00325736">
        <w:rPr>
          <w:b/>
          <w:sz w:val="28"/>
          <w:lang w:val="pt-BR"/>
        </w:rPr>
        <w:t>2</w:t>
      </w:r>
      <w:r w:rsidR="00842BE4">
        <w:rPr>
          <w:b/>
          <w:sz w:val="28"/>
        </w:rPr>
        <w:t>2</w:t>
      </w:r>
    </w:p>
    <w:p w14:paraId="17E3D694" w14:textId="120E1B24" w:rsidR="00842BE4" w:rsidRDefault="001931F3" w:rsidP="0011698D">
      <w:pPr>
        <w:spacing w:before="120" w:after="120" w:line="264" w:lineRule="auto"/>
        <w:ind w:firstLine="567"/>
        <w:jc w:val="both"/>
        <w:rPr>
          <w:sz w:val="28"/>
          <w:szCs w:val="28"/>
        </w:rPr>
      </w:pPr>
      <w:r w:rsidRPr="00325736">
        <w:rPr>
          <w:sz w:val="28"/>
          <w:szCs w:val="28"/>
        </w:rPr>
        <w:t xml:space="preserve">Căn cứ </w:t>
      </w:r>
      <w:r w:rsidR="008477DD">
        <w:rPr>
          <w:sz w:val="28"/>
          <w:szCs w:val="28"/>
        </w:rPr>
        <w:t>các quy định của Luật ngân sách nhà nước, các văn bản hướng dẫn của Trung ương và t</w:t>
      </w:r>
      <w:r w:rsidR="00842BE4" w:rsidRPr="002168B0">
        <w:rPr>
          <w:sz w:val="28"/>
          <w:szCs w:val="28"/>
        </w:rPr>
        <w:t>rên cơ sở đánh giá tình hình thực hiện dự toán ngân sách địa phương năm 2021, nhiệm vụ phát triển kinh tế - xã hội và dự toán thu chi ngân sách năm 2022 đã được Trung ương giao; Ủy ban nhân dân tỉnh xây dựng phương án phân bổ dự toán ngân sách địa phương, ngân sách cấp tỉnh năm 2022, cụ thể như sau:</w:t>
      </w:r>
    </w:p>
    <w:p w14:paraId="2E8EE4B9" w14:textId="186B480D" w:rsidR="006837E7" w:rsidRPr="008477DD" w:rsidRDefault="002C5BF4" w:rsidP="0011698D">
      <w:pPr>
        <w:spacing w:before="120" w:after="120" w:line="264" w:lineRule="auto"/>
        <w:ind w:firstLine="709"/>
        <w:jc w:val="both"/>
        <w:rPr>
          <w:b/>
          <w:sz w:val="28"/>
        </w:rPr>
      </w:pPr>
      <w:r w:rsidRPr="00325736">
        <w:rPr>
          <w:b/>
          <w:sz w:val="28"/>
          <w:lang w:val="pt-BR"/>
        </w:rPr>
        <w:t xml:space="preserve">2.1. </w:t>
      </w:r>
      <w:r w:rsidR="00BB40F0" w:rsidRPr="00325736">
        <w:rPr>
          <w:b/>
          <w:sz w:val="28"/>
          <w:lang w:val="am-ET"/>
        </w:rPr>
        <w:t>D</w:t>
      </w:r>
      <w:r w:rsidR="006837E7" w:rsidRPr="00325736">
        <w:rPr>
          <w:b/>
          <w:sz w:val="28"/>
        </w:rPr>
        <w:t xml:space="preserve">ự </w:t>
      </w:r>
      <w:r w:rsidR="006837E7" w:rsidRPr="00325736">
        <w:rPr>
          <w:b/>
          <w:sz w:val="28"/>
          <w:lang w:val="am-ET"/>
        </w:rPr>
        <w:t>toán</w:t>
      </w:r>
      <w:r w:rsidR="006837E7" w:rsidRPr="00325736">
        <w:rPr>
          <w:b/>
          <w:sz w:val="28"/>
        </w:rPr>
        <w:t xml:space="preserve"> thu</w:t>
      </w:r>
      <w:r w:rsidR="00BB40F0" w:rsidRPr="00325736">
        <w:rPr>
          <w:b/>
          <w:sz w:val="28"/>
          <w:lang w:val="am-ET"/>
        </w:rPr>
        <w:t xml:space="preserve"> </w:t>
      </w:r>
      <w:r w:rsidR="006114B0" w:rsidRPr="00325736">
        <w:rPr>
          <w:b/>
          <w:sz w:val="28"/>
          <w:lang w:val="pt-BR"/>
        </w:rPr>
        <w:t xml:space="preserve">ngân </w:t>
      </w:r>
      <w:r w:rsidR="006837E7" w:rsidRPr="00325736">
        <w:rPr>
          <w:b/>
          <w:sz w:val="28"/>
        </w:rPr>
        <w:t xml:space="preserve">sách </w:t>
      </w:r>
      <w:r w:rsidR="00C333CA" w:rsidRPr="00325736">
        <w:rPr>
          <w:b/>
          <w:sz w:val="28"/>
          <w:lang w:val="am-ET"/>
        </w:rPr>
        <w:t xml:space="preserve">địa phương </w:t>
      </w:r>
      <w:r w:rsidR="00C13330" w:rsidRPr="00325736">
        <w:rPr>
          <w:b/>
          <w:sz w:val="28"/>
        </w:rPr>
        <w:t>năm 20</w:t>
      </w:r>
      <w:r w:rsidR="00045B58" w:rsidRPr="00325736">
        <w:rPr>
          <w:b/>
          <w:sz w:val="28"/>
          <w:lang w:val="pt-BR"/>
        </w:rPr>
        <w:t>2</w:t>
      </w:r>
      <w:r w:rsidR="008477DD">
        <w:rPr>
          <w:b/>
          <w:sz w:val="28"/>
        </w:rPr>
        <w:t>2</w:t>
      </w:r>
    </w:p>
    <w:p w14:paraId="24D000DC" w14:textId="78F4D6C6" w:rsidR="008477DD" w:rsidRPr="002168B0" w:rsidRDefault="008477DD" w:rsidP="0011698D">
      <w:pPr>
        <w:spacing w:before="120" w:after="120" w:line="264" w:lineRule="auto"/>
        <w:ind w:firstLine="567"/>
        <w:jc w:val="both"/>
        <w:rPr>
          <w:sz w:val="28"/>
          <w:szCs w:val="28"/>
          <w:lang w:val="sv-SE"/>
        </w:rPr>
      </w:pPr>
      <w:r w:rsidRPr="002168B0">
        <w:rPr>
          <w:sz w:val="28"/>
          <w:szCs w:val="28"/>
          <w:lang w:val="sv-SE"/>
        </w:rPr>
        <w:t>- Dự toán</w:t>
      </w:r>
      <w:r w:rsidRPr="002168B0">
        <w:rPr>
          <w:b/>
          <w:bCs/>
          <w:sz w:val="28"/>
          <w:szCs w:val="28"/>
          <w:lang w:val="sv-SE"/>
        </w:rPr>
        <w:t xml:space="preserve"> </w:t>
      </w:r>
      <w:r w:rsidRPr="002168B0">
        <w:rPr>
          <w:sz w:val="28"/>
          <w:szCs w:val="28"/>
          <w:lang w:val="sv-SE"/>
        </w:rPr>
        <w:t>thu NSNN trên địa bàn địa phương giao 3.600.000 triệu đồng, tăng 29,2% so dự toán trung ương giao năm 2022; nếu loại trừ (thu tiền sử dụng đất đất, xổ số kiến thiết, thu viên trợ)</w:t>
      </w:r>
      <w:r w:rsidRPr="002168B0">
        <w:rPr>
          <w:sz w:val="28"/>
          <w:szCs w:val="28"/>
          <w:vertAlign w:val="superscript"/>
          <w:lang w:val="sv-SE"/>
        </w:rPr>
        <w:t>(</w:t>
      </w:r>
      <w:r w:rsidRPr="002168B0">
        <w:rPr>
          <w:rStyle w:val="FootnoteReference"/>
          <w:sz w:val="28"/>
          <w:szCs w:val="28"/>
          <w:lang w:val="sv-SE"/>
        </w:rPr>
        <w:footnoteReference w:id="10"/>
      </w:r>
      <w:r w:rsidRPr="002168B0">
        <w:rPr>
          <w:sz w:val="28"/>
          <w:szCs w:val="28"/>
          <w:vertAlign w:val="superscript"/>
          <w:lang w:val="sv-SE"/>
        </w:rPr>
        <w:t>)</w:t>
      </w:r>
      <w:r w:rsidRPr="002168B0">
        <w:rPr>
          <w:sz w:val="28"/>
          <w:szCs w:val="28"/>
          <w:lang w:val="sv-SE"/>
        </w:rPr>
        <w:t xml:space="preserve"> </w:t>
      </w:r>
      <w:r w:rsidRPr="008E610B">
        <w:rPr>
          <w:bCs/>
          <w:sz w:val="28"/>
          <w:szCs w:val="28"/>
          <w:lang w:val="sv-SE"/>
        </w:rPr>
        <w:t xml:space="preserve">tăng 10% </w:t>
      </w:r>
      <w:r w:rsidRPr="007D5AF7">
        <w:rPr>
          <w:bCs/>
          <w:sz w:val="28"/>
          <w:szCs w:val="28"/>
          <w:lang w:val="sv-SE"/>
        </w:rPr>
        <w:t>so dự toán năm 2021</w:t>
      </w:r>
      <w:r w:rsidRPr="002168B0">
        <w:rPr>
          <w:sz w:val="28"/>
          <w:szCs w:val="28"/>
          <w:lang w:val="sv-SE"/>
        </w:rPr>
        <w:t xml:space="preserve">; trong đó: thu nội địa 3.330.000 triệu đồng, tăng so với dự toán Trung ương giao 32,3% </w:t>
      </w:r>
      <w:r w:rsidRPr="002168B0">
        <w:rPr>
          <w:i/>
          <w:iCs/>
          <w:sz w:val="28"/>
          <w:szCs w:val="28"/>
          <w:lang w:val="sv-SE"/>
        </w:rPr>
        <w:t>(tương ứng giao tăng thu 813.000 triệu đồng</w:t>
      </w:r>
      <w:r w:rsidRPr="002168B0">
        <w:rPr>
          <w:i/>
          <w:iCs/>
          <w:sz w:val="28"/>
          <w:szCs w:val="28"/>
          <w:vertAlign w:val="superscript"/>
          <w:lang w:val="sv-SE"/>
        </w:rPr>
        <w:t>(</w:t>
      </w:r>
      <w:r w:rsidRPr="002168B0">
        <w:rPr>
          <w:rStyle w:val="FootnoteReference"/>
          <w:i/>
          <w:iCs/>
          <w:sz w:val="28"/>
          <w:szCs w:val="28"/>
          <w:lang w:val="sv-SE"/>
        </w:rPr>
        <w:footnoteReference w:id="11"/>
      </w:r>
      <w:r w:rsidRPr="002168B0">
        <w:rPr>
          <w:i/>
          <w:iCs/>
          <w:sz w:val="28"/>
          <w:szCs w:val="28"/>
          <w:vertAlign w:val="superscript"/>
          <w:lang w:val="sv-SE"/>
        </w:rPr>
        <w:t>)</w:t>
      </w:r>
      <w:r w:rsidRPr="002168B0">
        <w:rPr>
          <w:i/>
          <w:iCs/>
          <w:sz w:val="28"/>
          <w:szCs w:val="28"/>
          <w:lang w:val="sv-SE"/>
        </w:rPr>
        <w:t>)</w:t>
      </w:r>
      <w:r w:rsidRPr="002168B0">
        <w:rPr>
          <w:iCs/>
          <w:sz w:val="28"/>
          <w:szCs w:val="28"/>
          <w:lang w:val="sv-SE"/>
        </w:rPr>
        <w:t>;</w:t>
      </w:r>
      <w:r w:rsidRPr="002168B0">
        <w:rPr>
          <w:i/>
          <w:iCs/>
          <w:sz w:val="28"/>
          <w:szCs w:val="28"/>
          <w:lang w:val="sv-SE"/>
        </w:rPr>
        <w:t xml:space="preserve"> </w:t>
      </w:r>
      <w:r w:rsidRPr="002168B0">
        <w:rPr>
          <w:iCs/>
          <w:sz w:val="28"/>
          <w:szCs w:val="28"/>
          <w:lang w:val="sv-SE"/>
        </w:rPr>
        <w:t xml:space="preserve">thu từ hoạt động xuất nhập khẩu 270.000 triệu đồng </w:t>
      </w:r>
      <w:r w:rsidRPr="007D5AF7">
        <w:rPr>
          <w:i/>
          <w:iCs/>
          <w:sz w:val="28"/>
          <w:szCs w:val="28"/>
          <w:lang w:val="sv-SE"/>
        </w:rPr>
        <w:t>(bằng trung ương giao)</w:t>
      </w:r>
      <w:r w:rsidRPr="002168B0">
        <w:rPr>
          <w:iCs/>
          <w:sz w:val="28"/>
          <w:szCs w:val="28"/>
          <w:lang w:val="sv-SE"/>
        </w:rPr>
        <w:t>.</w:t>
      </w:r>
      <w:r w:rsidRPr="002168B0">
        <w:rPr>
          <w:sz w:val="28"/>
          <w:szCs w:val="28"/>
          <w:lang w:val="sv-SE"/>
        </w:rPr>
        <w:t xml:space="preserve"> </w:t>
      </w:r>
    </w:p>
    <w:p w14:paraId="5ABDBD61" w14:textId="77777777" w:rsidR="008477DD" w:rsidRPr="002168B0" w:rsidRDefault="008477DD" w:rsidP="0011698D">
      <w:pPr>
        <w:spacing w:before="120" w:after="120" w:line="264" w:lineRule="auto"/>
        <w:ind w:firstLine="567"/>
        <w:jc w:val="both"/>
        <w:rPr>
          <w:sz w:val="28"/>
          <w:szCs w:val="28"/>
          <w:lang w:val="sv-SE"/>
        </w:rPr>
      </w:pPr>
      <w:r w:rsidRPr="002168B0">
        <w:rPr>
          <w:sz w:val="28"/>
          <w:szCs w:val="28"/>
          <w:lang w:val="sv-SE"/>
        </w:rPr>
        <w:lastRenderedPageBreak/>
        <w:t>- Dự toán thu ngân sách địa phương 8.148.648 triệu đồng, trong đó thu cân đối ngân sách địa phương 6.701.917 triệu đồng.</w:t>
      </w:r>
    </w:p>
    <w:p w14:paraId="2E8EE4BB" w14:textId="339995C5" w:rsidR="00EF1CCB" w:rsidRPr="008477DD" w:rsidRDefault="002677D9" w:rsidP="0011698D">
      <w:pPr>
        <w:spacing w:before="120" w:after="120" w:line="264" w:lineRule="auto"/>
        <w:ind w:firstLine="709"/>
        <w:jc w:val="both"/>
        <w:rPr>
          <w:b/>
          <w:sz w:val="28"/>
        </w:rPr>
      </w:pPr>
      <w:r w:rsidRPr="00325736">
        <w:rPr>
          <w:b/>
          <w:sz w:val="28"/>
          <w:lang w:val="sv-SE"/>
        </w:rPr>
        <w:t xml:space="preserve">2.2. </w:t>
      </w:r>
      <w:r w:rsidR="00EF1CCB" w:rsidRPr="00325736">
        <w:rPr>
          <w:b/>
          <w:sz w:val="28"/>
        </w:rPr>
        <w:t>Dự toán chi</w:t>
      </w:r>
      <w:r w:rsidR="006114B0" w:rsidRPr="00325736">
        <w:rPr>
          <w:b/>
          <w:sz w:val="28"/>
          <w:lang w:val="sv-SE"/>
        </w:rPr>
        <w:t xml:space="preserve"> ngân</w:t>
      </w:r>
      <w:r w:rsidR="00EF1CCB" w:rsidRPr="00325736">
        <w:rPr>
          <w:b/>
          <w:sz w:val="28"/>
        </w:rPr>
        <w:t xml:space="preserve"> sách địa phương năm 20</w:t>
      </w:r>
      <w:r w:rsidR="00045B58" w:rsidRPr="00325736">
        <w:rPr>
          <w:b/>
          <w:sz w:val="28"/>
          <w:lang w:val="sv-SE"/>
        </w:rPr>
        <w:t>2</w:t>
      </w:r>
      <w:r w:rsidR="008477DD">
        <w:rPr>
          <w:b/>
          <w:sz w:val="28"/>
        </w:rPr>
        <w:t>2</w:t>
      </w:r>
    </w:p>
    <w:p w14:paraId="24EF0B67" w14:textId="63E05899" w:rsidR="006114B0" w:rsidRPr="008477DD" w:rsidRDefault="008477DD" w:rsidP="0011698D">
      <w:pPr>
        <w:spacing w:before="120" w:after="120" w:line="264" w:lineRule="auto"/>
        <w:ind w:firstLine="567"/>
        <w:jc w:val="both"/>
        <w:rPr>
          <w:sz w:val="28"/>
          <w:szCs w:val="28"/>
        </w:rPr>
      </w:pPr>
      <w:r w:rsidRPr="008477DD">
        <w:rPr>
          <w:bCs/>
          <w:sz w:val="28"/>
          <w:szCs w:val="28"/>
          <w:lang w:val="sv-SE"/>
        </w:rPr>
        <w:t xml:space="preserve">Dự toán chi ngân sách địa phương giao </w:t>
      </w:r>
      <w:r w:rsidRPr="007D5AF7">
        <w:rPr>
          <w:bCs/>
          <w:i/>
          <w:sz w:val="28"/>
          <w:szCs w:val="28"/>
          <w:lang w:val="sv-SE"/>
        </w:rPr>
        <w:t>(bao gồm cả bội chi)</w:t>
      </w:r>
      <w:r w:rsidRPr="008477DD">
        <w:rPr>
          <w:bCs/>
          <w:sz w:val="28"/>
          <w:szCs w:val="28"/>
          <w:lang w:val="sv-SE"/>
        </w:rPr>
        <w:t xml:space="preserve"> </w:t>
      </w:r>
      <w:r w:rsidRPr="008477DD">
        <w:rPr>
          <w:sz w:val="28"/>
          <w:szCs w:val="28"/>
          <w:lang w:val="sv-SE"/>
        </w:rPr>
        <w:t>8.197.048 triệu đồng</w:t>
      </w:r>
      <w:r>
        <w:rPr>
          <w:sz w:val="28"/>
          <w:szCs w:val="28"/>
        </w:rPr>
        <w:t>, trong đó: d</w:t>
      </w:r>
      <w:r w:rsidRPr="002168B0">
        <w:rPr>
          <w:sz w:val="28"/>
          <w:szCs w:val="28"/>
          <w:lang w:val="sv-SE"/>
        </w:rPr>
        <w:t xml:space="preserve">ự toán chi cân đối ngân sách địa phương </w:t>
      </w:r>
      <w:r w:rsidRPr="007D5AF7">
        <w:rPr>
          <w:i/>
          <w:sz w:val="28"/>
          <w:szCs w:val="28"/>
          <w:lang w:val="sv-SE"/>
        </w:rPr>
        <w:t>(bao gồm cả bội chi)</w:t>
      </w:r>
      <w:r w:rsidRPr="002168B0">
        <w:rPr>
          <w:sz w:val="28"/>
          <w:szCs w:val="28"/>
          <w:lang w:val="sv-SE"/>
        </w:rPr>
        <w:t xml:space="preserve"> 6.750.317 </w:t>
      </w:r>
      <w:r>
        <w:rPr>
          <w:sz w:val="28"/>
          <w:szCs w:val="28"/>
          <w:lang w:val="sv-SE"/>
        </w:rPr>
        <w:t>triệu đồng</w:t>
      </w:r>
      <w:r w:rsidR="007D5AF7" w:rsidRPr="007D5AF7">
        <w:rPr>
          <w:sz w:val="28"/>
          <w:szCs w:val="28"/>
          <w:vertAlign w:val="superscript"/>
        </w:rPr>
        <w:t>(</w:t>
      </w:r>
      <w:r w:rsidR="007D5AF7">
        <w:rPr>
          <w:rStyle w:val="FootnoteReference"/>
          <w:sz w:val="28"/>
          <w:szCs w:val="28"/>
        </w:rPr>
        <w:footnoteReference w:id="12"/>
      </w:r>
      <w:r w:rsidR="007D5AF7" w:rsidRPr="007D5AF7">
        <w:rPr>
          <w:sz w:val="28"/>
          <w:szCs w:val="28"/>
          <w:vertAlign w:val="superscript"/>
        </w:rPr>
        <w:t>)</w:t>
      </w:r>
      <w:r>
        <w:rPr>
          <w:sz w:val="28"/>
          <w:szCs w:val="28"/>
        </w:rPr>
        <w:t>; c</w:t>
      </w:r>
      <w:r w:rsidRPr="002168B0">
        <w:rPr>
          <w:sz w:val="28"/>
          <w:szCs w:val="28"/>
          <w:lang w:val="sv-SE"/>
        </w:rPr>
        <w:t>hi bổ sung mục tiêu nhiệm vụ cụ thể từ ngân sách Trung ương 1.446.731 triệu đồng</w:t>
      </w:r>
      <w:r>
        <w:rPr>
          <w:sz w:val="28"/>
          <w:szCs w:val="28"/>
        </w:rPr>
        <w:t>.</w:t>
      </w:r>
    </w:p>
    <w:p w14:paraId="2E8EE4BF" w14:textId="34580E5F" w:rsidR="00FE16CB" w:rsidRPr="007D5AF7" w:rsidRDefault="002677D9" w:rsidP="0011698D">
      <w:pPr>
        <w:spacing w:before="120" w:after="120" w:line="264" w:lineRule="auto"/>
        <w:ind w:firstLine="709"/>
        <w:jc w:val="both"/>
        <w:rPr>
          <w:b/>
          <w:sz w:val="28"/>
        </w:rPr>
      </w:pPr>
      <w:r w:rsidRPr="00325736">
        <w:rPr>
          <w:b/>
          <w:sz w:val="28"/>
          <w:lang w:val="sv-SE"/>
        </w:rPr>
        <w:t xml:space="preserve">2.3. </w:t>
      </w:r>
      <w:r w:rsidR="00FE16CB" w:rsidRPr="00325736">
        <w:rPr>
          <w:b/>
          <w:sz w:val="28"/>
        </w:rPr>
        <w:t>Về phương án phân bổ ngân sách cấp tỉnh năm 20</w:t>
      </w:r>
      <w:r w:rsidR="00045B58" w:rsidRPr="00325736">
        <w:rPr>
          <w:b/>
          <w:sz w:val="28"/>
          <w:lang w:val="sv-SE"/>
        </w:rPr>
        <w:t>2</w:t>
      </w:r>
      <w:r w:rsidR="007D5AF7">
        <w:rPr>
          <w:b/>
          <w:sz w:val="28"/>
        </w:rPr>
        <w:t>2</w:t>
      </w:r>
    </w:p>
    <w:p w14:paraId="15F19329" w14:textId="6D5A4970" w:rsidR="007D5AF7" w:rsidRPr="002168B0" w:rsidRDefault="007D5AF7" w:rsidP="0011698D">
      <w:pPr>
        <w:spacing w:before="120" w:after="120" w:line="264" w:lineRule="auto"/>
        <w:ind w:firstLine="567"/>
        <w:jc w:val="both"/>
        <w:rPr>
          <w:sz w:val="28"/>
          <w:szCs w:val="28"/>
          <w:lang w:val="sv-SE"/>
        </w:rPr>
      </w:pPr>
      <w:r w:rsidRPr="002168B0">
        <w:rPr>
          <w:sz w:val="28"/>
          <w:szCs w:val="28"/>
          <w:lang w:val="sv-SE"/>
        </w:rPr>
        <w:t>Dự toán thu cân đối ngân sách địa phương 6.701.917 t</w:t>
      </w:r>
      <w:r w:rsidRPr="002168B0">
        <w:rPr>
          <w:bCs/>
          <w:sz w:val="28"/>
          <w:szCs w:val="28"/>
          <w:lang w:val="sv-SE"/>
        </w:rPr>
        <w:t>riệu đồng</w:t>
      </w:r>
      <w:r w:rsidRPr="002168B0">
        <w:rPr>
          <w:sz w:val="28"/>
          <w:szCs w:val="28"/>
          <w:lang w:val="sv-SE"/>
        </w:rPr>
        <w:t>, sau khi trừ phần thu cân đối ngân sách huyện thành phố 3.590.433 triệu đồng, dự toán thu cân đối ngân sách tỉnh còn lại 3.111.484 triệu đồng. Dự kiến phân bổ cho các nhiệm vụ chi như sau:</w:t>
      </w:r>
    </w:p>
    <w:p w14:paraId="1AD17D0D" w14:textId="2565340C" w:rsidR="007D5AF7" w:rsidRPr="007D5AF7" w:rsidRDefault="007D5AF7" w:rsidP="0011698D">
      <w:pPr>
        <w:spacing w:before="120" w:after="120" w:line="264" w:lineRule="auto"/>
        <w:ind w:firstLine="567"/>
        <w:jc w:val="both"/>
        <w:rPr>
          <w:color w:val="FF0000"/>
          <w:sz w:val="28"/>
        </w:rPr>
      </w:pPr>
      <w:r>
        <w:rPr>
          <w:sz w:val="28"/>
          <w:szCs w:val="28"/>
        </w:rPr>
        <w:t>-</w:t>
      </w:r>
      <w:r w:rsidRPr="002168B0">
        <w:rPr>
          <w:sz w:val="28"/>
          <w:szCs w:val="28"/>
          <w:lang w:val="sv-SE"/>
        </w:rPr>
        <w:t xml:space="preserve"> Bổ sung mục tiêu ngân sách huyện, thành phố thực hiện một số nhiệm vụ cụ thể </w:t>
      </w:r>
      <w:r>
        <w:rPr>
          <w:sz w:val="28"/>
          <w:szCs w:val="28"/>
          <w:lang w:val="sv-SE"/>
        </w:rPr>
        <w:t>185.908</w:t>
      </w:r>
      <w:r w:rsidRPr="002168B0">
        <w:rPr>
          <w:sz w:val="28"/>
          <w:szCs w:val="28"/>
          <w:lang w:val="sv-SE"/>
        </w:rPr>
        <w:t xml:space="preserve"> triệu đồng,</w:t>
      </w:r>
      <w:r w:rsidRPr="007D5AF7">
        <w:rPr>
          <w:sz w:val="28"/>
          <w:szCs w:val="28"/>
          <w:lang w:val="sv-SE"/>
        </w:rPr>
        <w:t xml:space="preserve"> </w:t>
      </w:r>
      <w:r w:rsidRPr="002168B0">
        <w:rPr>
          <w:sz w:val="28"/>
          <w:szCs w:val="28"/>
          <w:lang w:val="sv-SE"/>
        </w:rPr>
        <w:t>bao gồm:</w:t>
      </w:r>
      <w:r>
        <w:rPr>
          <w:sz w:val="28"/>
          <w:szCs w:val="28"/>
        </w:rPr>
        <w:t xml:space="preserve"> </w:t>
      </w:r>
      <w:r w:rsidRPr="002168B0">
        <w:rPr>
          <w:sz w:val="28"/>
          <w:szCs w:val="28"/>
          <w:lang w:val="sv-SE"/>
        </w:rPr>
        <w:t xml:space="preserve">Bổ sung nhiệm vụ đầu tư phát triển </w:t>
      </w:r>
      <w:r>
        <w:rPr>
          <w:sz w:val="28"/>
          <w:szCs w:val="28"/>
          <w:lang w:val="sv-SE"/>
        </w:rPr>
        <w:t>170.119</w:t>
      </w:r>
      <w:r w:rsidRPr="002168B0">
        <w:rPr>
          <w:sz w:val="28"/>
          <w:szCs w:val="28"/>
          <w:lang w:val="sv-SE"/>
        </w:rPr>
        <w:t xml:space="preserve"> triệu đồng</w:t>
      </w:r>
      <w:r>
        <w:rPr>
          <w:sz w:val="28"/>
          <w:szCs w:val="28"/>
        </w:rPr>
        <w:t xml:space="preserve">; </w:t>
      </w:r>
      <w:r w:rsidRPr="002168B0">
        <w:rPr>
          <w:sz w:val="28"/>
          <w:szCs w:val="28"/>
          <w:lang w:val="sv-SE"/>
        </w:rPr>
        <w:t>Bổ sung nhiệm vụ cụ thể vốn sự nghiệp 15.789 triệu đồng</w:t>
      </w:r>
    </w:p>
    <w:p w14:paraId="4BBA160C" w14:textId="7C4F626A" w:rsidR="007D5AF7" w:rsidRPr="002168B0" w:rsidRDefault="007D5AF7" w:rsidP="0011698D">
      <w:pPr>
        <w:spacing w:before="120" w:after="120" w:line="264" w:lineRule="auto"/>
        <w:ind w:firstLine="567"/>
        <w:jc w:val="both"/>
        <w:rPr>
          <w:sz w:val="28"/>
          <w:szCs w:val="28"/>
          <w:lang w:val="nl-NL"/>
        </w:rPr>
      </w:pPr>
      <w:r>
        <w:rPr>
          <w:sz w:val="28"/>
          <w:szCs w:val="28"/>
        </w:rPr>
        <w:t xml:space="preserve">- </w:t>
      </w:r>
      <w:r w:rsidRPr="002168B0">
        <w:rPr>
          <w:sz w:val="28"/>
          <w:szCs w:val="28"/>
          <w:lang w:val="sv-SE"/>
        </w:rPr>
        <w:t>Chi cân đối ngân sách cấp tỉnh</w:t>
      </w:r>
      <w:r>
        <w:rPr>
          <w:sz w:val="28"/>
          <w:szCs w:val="28"/>
        </w:rPr>
        <w:t xml:space="preserve"> </w:t>
      </w:r>
      <w:r w:rsidRPr="002168B0">
        <w:rPr>
          <w:sz w:val="28"/>
          <w:szCs w:val="28"/>
          <w:lang w:val="sv-SE"/>
        </w:rPr>
        <w:t>(chưa bao gồm bội chi ngân sách địa phương 48.400 triệu đồng):</w:t>
      </w:r>
      <w:r w:rsidRPr="002168B0">
        <w:rPr>
          <w:b/>
          <w:bCs/>
          <w:sz w:val="28"/>
          <w:szCs w:val="28"/>
          <w:lang w:val="sv-SE"/>
        </w:rPr>
        <w:t xml:space="preserve"> </w:t>
      </w:r>
      <w:r w:rsidRPr="002168B0">
        <w:rPr>
          <w:sz w:val="28"/>
          <w:szCs w:val="28"/>
          <w:lang w:val="sv-SE"/>
        </w:rPr>
        <w:t>Sau khi loại trừ phần bổ sung mục tiêu ngân sách huyện nêu trên và bội chi ngân sách địa phương, còn lại</w:t>
      </w:r>
      <w:r w:rsidRPr="00EE55B1">
        <w:rPr>
          <w:sz w:val="28"/>
          <w:szCs w:val="28"/>
          <w:lang w:val="sv-SE"/>
        </w:rPr>
        <w:t xml:space="preserve"> 2.925.576 </w:t>
      </w:r>
      <w:r w:rsidRPr="002168B0">
        <w:rPr>
          <w:sz w:val="28"/>
          <w:szCs w:val="28"/>
          <w:lang w:val="sv-SE"/>
        </w:rPr>
        <w:t>triệu đồng</w:t>
      </w:r>
      <w:r>
        <w:rPr>
          <w:sz w:val="28"/>
          <w:szCs w:val="28"/>
        </w:rPr>
        <w:t xml:space="preserve">. Trong đó: </w:t>
      </w:r>
      <w:r w:rsidRPr="002168B0">
        <w:rPr>
          <w:sz w:val="28"/>
          <w:szCs w:val="28"/>
          <w:lang w:val="nl-NL"/>
        </w:rPr>
        <w:t>Chi đầu tư phát triển</w:t>
      </w:r>
      <w:r w:rsidRPr="00EE55B1">
        <w:rPr>
          <w:sz w:val="28"/>
          <w:szCs w:val="28"/>
          <w:lang w:val="nl-NL"/>
        </w:rPr>
        <w:t xml:space="preserve"> 357.529 </w:t>
      </w:r>
      <w:r w:rsidRPr="002168B0">
        <w:rPr>
          <w:sz w:val="28"/>
          <w:szCs w:val="28"/>
          <w:lang w:val="nl-NL"/>
        </w:rPr>
        <w:t>triệu đồng</w:t>
      </w:r>
      <w:r>
        <w:rPr>
          <w:sz w:val="28"/>
          <w:szCs w:val="28"/>
        </w:rPr>
        <w:t xml:space="preserve">; </w:t>
      </w:r>
      <w:r w:rsidRPr="002168B0">
        <w:rPr>
          <w:sz w:val="28"/>
          <w:szCs w:val="28"/>
          <w:lang w:val="nl-NL"/>
        </w:rPr>
        <w:t xml:space="preserve">Chi thường xuyên </w:t>
      </w:r>
      <w:r w:rsidRPr="002168B0">
        <w:rPr>
          <w:sz w:val="28"/>
          <w:szCs w:val="28"/>
          <w:lang w:val="sv-SE"/>
        </w:rPr>
        <w:t xml:space="preserve">1.741.764 </w:t>
      </w:r>
      <w:r w:rsidRPr="002168B0">
        <w:rPr>
          <w:sz w:val="28"/>
          <w:szCs w:val="28"/>
          <w:lang w:val="nl-NL"/>
        </w:rPr>
        <w:t>triệu đồng</w:t>
      </w:r>
      <w:r>
        <w:rPr>
          <w:sz w:val="28"/>
          <w:szCs w:val="28"/>
        </w:rPr>
        <w:t>;</w:t>
      </w:r>
      <w:r w:rsidRPr="007D5AF7">
        <w:rPr>
          <w:sz w:val="28"/>
          <w:szCs w:val="28"/>
          <w:lang w:val="nl-NL"/>
        </w:rPr>
        <w:t xml:space="preserve"> </w:t>
      </w:r>
      <w:r w:rsidRPr="002168B0">
        <w:rPr>
          <w:sz w:val="28"/>
          <w:szCs w:val="28"/>
          <w:lang w:val="nl-NL"/>
        </w:rPr>
        <w:t>Chi trả nợ lãi vay 2.</w:t>
      </w:r>
      <w:r>
        <w:rPr>
          <w:sz w:val="28"/>
          <w:szCs w:val="28"/>
          <w:lang w:val="nl-NL"/>
        </w:rPr>
        <w:t>2</w:t>
      </w:r>
      <w:r w:rsidRPr="002168B0">
        <w:rPr>
          <w:sz w:val="28"/>
          <w:szCs w:val="28"/>
          <w:lang w:val="nl-NL"/>
        </w:rPr>
        <w:t>00 triệu đồng</w:t>
      </w:r>
      <w:r>
        <w:rPr>
          <w:sz w:val="28"/>
          <w:szCs w:val="28"/>
        </w:rPr>
        <w:t>;</w:t>
      </w:r>
      <w:r w:rsidRPr="002168B0">
        <w:rPr>
          <w:sz w:val="28"/>
          <w:szCs w:val="28"/>
          <w:lang w:val="nl-NL"/>
        </w:rPr>
        <w:t xml:space="preserve"> Chi bổ sung quỹ dự</w:t>
      </w:r>
      <w:r>
        <w:rPr>
          <w:sz w:val="28"/>
          <w:szCs w:val="28"/>
          <w:lang w:val="nl-NL"/>
        </w:rPr>
        <w:t xml:space="preserve"> trữ tài chính 1.000 triệu đồng</w:t>
      </w:r>
      <w:r>
        <w:rPr>
          <w:sz w:val="28"/>
          <w:szCs w:val="28"/>
        </w:rPr>
        <w:t>;</w:t>
      </w:r>
      <w:r w:rsidRPr="002168B0">
        <w:rPr>
          <w:sz w:val="28"/>
          <w:szCs w:val="28"/>
          <w:lang w:val="nl-NL"/>
        </w:rPr>
        <w:t xml:space="preserve"> Dự phòng</w:t>
      </w:r>
      <w:r w:rsidR="00975635">
        <w:rPr>
          <w:sz w:val="28"/>
          <w:szCs w:val="28"/>
        </w:rPr>
        <w:t xml:space="preserve"> ngân sách tỉnh</w:t>
      </w:r>
      <w:r w:rsidRPr="002168B0">
        <w:rPr>
          <w:sz w:val="28"/>
          <w:szCs w:val="28"/>
          <w:lang w:val="nl-NL"/>
        </w:rPr>
        <w:t xml:space="preserve"> 62.229 </w:t>
      </w:r>
      <w:r w:rsidR="00975635">
        <w:rPr>
          <w:sz w:val="28"/>
          <w:szCs w:val="28"/>
          <w:lang w:val="nl-NL"/>
        </w:rPr>
        <w:t>triệu đồng</w:t>
      </w:r>
      <w:r>
        <w:rPr>
          <w:sz w:val="28"/>
          <w:szCs w:val="28"/>
        </w:rPr>
        <w:t>;</w:t>
      </w:r>
      <w:r w:rsidRPr="002168B0">
        <w:rPr>
          <w:sz w:val="28"/>
          <w:szCs w:val="28"/>
          <w:lang w:val="nl-NL"/>
        </w:rPr>
        <w:t xml:space="preserve"> Chi từ nguồn tăng thu các dự án khai thác quỹ đất so với dự toán trung ương giao </w:t>
      </w:r>
      <w:r w:rsidRPr="00975635">
        <w:rPr>
          <w:i/>
          <w:sz w:val="28"/>
          <w:szCs w:val="28"/>
          <w:lang w:val="nl-NL"/>
        </w:rPr>
        <w:t>(phân bổ cho các dự án, nhiệm vụ theo tiến độ nguồn thu thực tế)</w:t>
      </w:r>
      <w:r w:rsidRPr="002168B0">
        <w:rPr>
          <w:sz w:val="28"/>
          <w:szCs w:val="28"/>
          <w:lang w:val="nl-NL"/>
        </w:rPr>
        <w:t xml:space="preserve"> 760.854 triệu đồng.</w:t>
      </w:r>
    </w:p>
    <w:p w14:paraId="2E8EE4C3" w14:textId="11C6451B" w:rsidR="00922B34" w:rsidRPr="00325736" w:rsidRDefault="002677D9" w:rsidP="0011698D">
      <w:pPr>
        <w:spacing w:before="120" w:after="120" w:line="264" w:lineRule="auto"/>
        <w:ind w:firstLine="709"/>
        <w:jc w:val="both"/>
        <w:rPr>
          <w:b/>
          <w:sz w:val="28"/>
        </w:rPr>
      </w:pPr>
      <w:r w:rsidRPr="00325736">
        <w:rPr>
          <w:b/>
          <w:sz w:val="28"/>
        </w:rPr>
        <w:tab/>
        <w:t xml:space="preserve">2.4. </w:t>
      </w:r>
      <w:r w:rsidR="00002435" w:rsidRPr="00325736">
        <w:rPr>
          <w:b/>
          <w:sz w:val="28"/>
        </w:rPr>
        <w:t>Về nhiệm vụ, giải pháp thực hiện dự toán thu</w:t>
      </w:r>
      <w:r w:rsidR="00EA178A" w:rsidRPr="00325736">
        <w:rPr>
          <w:b/>
          <w:sz w:val="28"/>
        </w:rPr>
        <w:t>,</w:t>
      </w:r>
      <w:r w:rsidR="00002435" w:rsidRPr="00325736">
        <w:rPr>
          <w:b/>
          <w:sz w:val="28"/>
        </w:rPr>
        <w:t xml:space="preserve"> chi ngân sách năm 20</w:t>
      </w:r>
      <w:r w:rsidR="00045B58" w:rsidRPr="00325736">
        <w:rPr>
          <w:b/>
          <w:sz w:val="28"/>
        </w:rPr>
        <w:t>2</w:t>
      </w:r>
      <w:r w:rsidR="00975635">
        <w:rPr>
          <w:b/>
          <w:sz w:val="28"/>
        </w:rPr>
        <w:t>2</w:t>
      </w:r>
    </w:p>
    <w:p w14:paraId="2E8EE4C4" w14:textId="1BA5BC9D" w:rsidR="00002435" w:rsidRPr="00325736" w:rsidRDefault="00002435" w:rsidP="0011698D">
      <w:pPr>
        <w:spacing w:before="120" w:after="120" w:line="264" w:lineRule="auto"/>
        <w:ind w:firstLine="709"/>
        <w:jc w:val="both"/>
        <w:rPr>
          <w:sz w:val="28"/>
        </w:rPr>
      </w:pPr>
      <w:r w:rsidRPr="00325736">
        <w:rPr>
          <w:sz w:val="28"/>
        </w:rPr>
        <w:t xml:space="preserve">Ban Kinh tế - Ngân sách </w:t>
      </w:r>
      <w:r w:rsidR="00C80DC7" w:rsidRPr="00325736">
        <w:rPr>
          <w:sz w:val="28"/>
        </w:rPr>
        <w:t>cơ bản tán thành</w:t>
      </w:r>
      <w:r w:rsidRPr="00325736">
        <w:rPr>
          <w:sz w:val="28"/>
        </w:rPr>
        <w:t xml:space="preserve"> với các nhiệm vụ, giải pháp điều hành thu</w:t>
      </w:r>
      <w:r w:rsidR="00FA2BF1" w:rsidRPr="00325736">
        <w:rPr>
          <w:sz w:val="28"/>
        </w:rPr>
        <w:t>,</w:t>
      </w:r>
      <w:r w:rsidRPr="00325736">
        <w:rPr>
          <w:sz w:val="28"/>
        </w:rPr>
        <w:t xml:space="preserve"> chi ngân sách năm 20</w:t>
      </w:r>
      <w:r w:rsidR="00E12A17" w:rsidRPr="00325736">
        <w:rPr>
          <w:sz w:val="28"/>
        </w:rPr>
        <w:t>2</w:t>
      </w:r>
      <w:r w:rsidR="00975635">
        <w:rPr>
          <w:sz w:val="28"/>
        </w:rPr>
        <w:t>2</w:t>
      </w:r>
      <w:r w:rsidRPr="00325736">
        <w:rPr>
          <w:sz w:val="28"/>
        </w:rPr>
        <w:t xml:space="preserve"> của </w:t>
      </w:r>
      <w:r w:rsidR="00681C4A" w:rsidRPr="00325736">
        <w:rPr>
          <w:sz w:val="28"/>
        </w:rPr>
        <w:t xml:space="preserve">Ủy ban nhân dân </w:t>
      </w:r>
      <w:r w:rsidR="00D2225C" w:rsidRPr="00325736">
        <w:rPr>
          <w:sz w:val="28"/>
        </w:rPr>
        <w:t xml:space="preserve">tỉnh. </w:t>
      </w:r>
      <w:r w:rsidR="00C71BBD" w:rsidRPr="00325736">
        <w:rPr>
          <w:sz w:val="28"/>
        </w:rPr>
        <w:t>Để tiếp tục tăng cường công tác quản lý, điều hành ngân sách địa phương năm 202</w:t>
      </w:r>
      <w:r w:rsidR="00975635">
        <w:rPr>
          <w:sz w:val="28"/>
        </w:rPr>
        <w:t>2</w:t>
      </w:r>
      <w:r w:rsidR="00C71BBD" w:rsidRPr="00325736">
        <w:rPr>
          <w:sz w:val="28"/>
        </w:rPr>
        <w:t>, phấn đấu hoàn thành cao nhất nhiệm vụ thu, chi ngân sách, góp phần thực hiện thắng lợi các mục tiêu, nhiệm vụ phát triển kinh tế - xã hội</w:t>
      </w:r>
      <w:r w:rsidR="00EC5D89" w:rsidRPr="00325736">
        <w:rPr>
          <w:sz w:val="28"/>
        </w:rPr>
        <w:t xml:space="preserve"> </w:t>
      </w:r>
      <w:r w:rsidR="00975635">
        <w:rPr>
          <w:sz w:val="28"/>
        </w:rPr>
        <w:t xml:space="preserve">đã được </w:t>
      </w:r>
      <w:r w:rsidR="00EC5D89" w:rsidRPr="00325736">
        <w:rPr>
          <w:sz w:val="28"/>
        </w:rPr>
        <w:t>Nghị quyết Đại hội Đảng bộ tỉnh khóa XVI</w:t>
      </w:r>
      <w:r w:rsidR="00975635">
        <w:rPr>
          <w:sz w:val="28"/>
        </w:rPr>
        <w:t xml:space="preserve"> đề ra</w:t>
      </w:r>
      <w:r w:rsidR="00C71BBD" w:rsidRPr="00325736">
        <w:rPr>
          <w:sz w:val="28"/>
        </w:rPr>
        <w:t>. Bên cạnh</w:t>
      </w:r>
      <w:r w:rsidR="008A1511" w:rsidRPr="00325736">
        <w:rPr>
          <w:sz w:val="28"/>
        </w:rPr>
        <w:t xml:space="preserve"> những nhiệm vụ, giải pháp </w:t>
      </w:r>
      <w:r w:rsidR="00C71BBD" w:rsidRPr="00325736">
        <w:rPr>
          <w:sz w:val="28"/>
        </w:rPr>
        <w:t xml:space="preserve">mà </w:t>
      </w:r>
      <w:r w:rsidR="008A1511" w:rsidRPr="00325736">
        <w:rPr>
          <w:sz w:val="28"/>
          <w:szCs w:val="28"/>
          <w:lang w:val="sv-SE"/>
        </w:rPr>
        <w:t xml:space="preserve">Ủy ban nhân dân </w:t>
      </w:r>
      <w:r w:rsidR="008A1511" w:rsidRPr="00325736">
        <w:rPr>
          <w:sz w:val="28"/>
        </w:rPr>
        <w:t xml:space="preserve">tỉnh nêu tại Tờ trình, </w:t>
      </w:r>
      <w:r w:rsidRPr="00325736">
        <w:rPr>
          <w:sz w:val="28"/>
        </w:rPr>
        <w:t xml:space="preserve">Ban </w:t>
      </w:r>
      <w:r w:rsidR="00F75C4E" w:rsidRPr="00325736">
        <w:rPr>
          <w:sz w:val="28"/>
        </w:rPr>
        <w:t xml:space="preserve">đề nghị </w:t>
      </w:r>
      <w:r w:rsidR="006A629C" w:rsidRPr="00325736">
        <w:rPr>
          <w:sz w:val="28"/>
          <w:szCs w:val="28"/>
          <w:lang w:val="sv-SE"/>
        </w:rPr>
        <w:t xml:space="preserve">Ủy ban nhân dân </w:t>
      </w:r>
      <w:r w:rsidR="00F75C4E" w:rsidRPr="00325736">
        <w:rPr>
          <w:sz w:val="28"/>
        </w:rPr>
        <w:t>tỉnh tập trung chỉ đạo</w:t>
      </w:r>
      <w:r w:rsidR="00D2225C" w:rsidRPr="00325736">
        <w:rPr>
          <w:sz w:val="28"/>
        </w:rPr>
        <w:t xml:space="preserve"> một số </w:t>
      </w:r>
      <w:r w:rsidR="008A1511" w:rsidRPr="00325736">
        <w:rPr>
          <w:sz w:val="28"/>
        </w:rPr>
        <w:t>nội dung</w:t>
      </w:r>
      <w:r w:rsidR="00C71BBD" w:rsidRPr="00325736">
        <w:rPr>
          <w:sz w:val="28"/>
        </w:rPr>
        <w:t xml:space="preserve"> cụ thể</w:t>
      </w:r>
      <w:r w:rsidR="008A1511" w:rsidRPr="00325736">
        <w:rPr>
          <w:sz w:val="28"/>
        </w:rPr>
        <w:t xml:space="preserve"> sau</w:t>
      </w:r>
      <w:r w:rsidR="00EA178A" w:rsidRPr="00325736">
        <w:rPr>
          <w:sz w:val="28"/>
        </w:rPr>
        <w:t>:</w:t>
      </w:r>
      <w:r w:rsidR="00843AF9" w:rsidRPr="00325736">
        <w:rPr>
          <w:sz w:val="28"/>
        </w:rPr>
        <w:t xml:space="preserve"> </w:t>
      </w:r>
    </w:p>
    <w:p w14:paraId="0E34B749" w14:textId="518A70E2" w:rsidR="00E4609B" w:rsidRDefault="00D17981" w:rsidP="0011698D">
      <w:pPr>
        <w:spacing w:before="120" w:after="120" w:line="264" w:lineRule="auto"/>
        <w:ind w:firstLine="709"/>
        <w:jc w:val="both"/>
        <w:rPr>
          <w:sz w:val="28"/>
        </w:rPr>
      </w:pPr>
      <w:r w:rsidRPr="00325736">
        <w:rPr>
          <w:sz w:val="28"/>
        </w:rPr>
        <w:lastRenderedPageBreak/>
        <w:t xml:space="preserve">- </w:t>
      </w:r>
      <w:r w:rsidR="0062428D" w:rsidRPr="00325736">
        <w:rPr>
          <w:sz w:val="28"/>
        </w:rPr>
        <w:t>Tiếp tục c</w:t>
      </w:r>
      <w:r w:rsidR="008A1511" w:rsidRPr="00325736">
        <w:rPr>
          <w:sz w:val="28"/>
        </w:rPr>
        <w:t xml:space="preserve">hỉ </w:t>
      </w:r>
      <w:r w:rsidRPr="00325736">
        <w:rPr>
          <w:sz w:val="28"/>
        </w:rPr>
        <w:t xml:space="preserve">đạo </w:t>
      </w:r>
      <w:r w:rsidR="00C71BBD" w:rsidRPr="00325736">
        <w:rPr>
          <w:sz w:val="28"/>
        </w:rPr>
        <w:t xml:space="preserve">điều hành, tổ chức </w:t>
      </w:r>
      <w:r w:rsidRPr="00325736">
        <w:rPr>
          <w:sz w:val="28"/>
        </w:rPr>
        <w:t xml:space="preserve">thực hiện dự toán </w:t>
      </w:r>
      <w:r w:rsidR="00C71BBD" w:rsidRPr="00325736">
        <w:rPr>
          <w:sz w:val="28"/>
        </w:rPr>
        <w:t>ngân sách nhà nước năm 202</w:t>
      </w:r>
      <w:r w:rsidR="00975635">
        <w:rPr>
          <w:sz w:val="28"/>
        </w:rPr>
        <w:t>1</w:t>
      </w:r>
      <w:r w:rsidRPr="00325736">
        <w:rPr>
          <w:sz w:val="28"/>
        </w:rPr>
        <w:t xml:space="preserve">, nhất là </w:t>
      </w:r>
      <w:r w:rsidR="00E4609B">
        <w:rPr>
          <w:sz w:val="28"/>
        </w:rPr>
        <w:t>xây dựng kế hoạch dài hạn để nuôi dưỡng và tạo nguồn thu, khai thác hiệu quả các nguồn</w:t>
      </w:r>
      <w:r w:rsidR="00C71BBD" w:rsidRPr="00325736">
        <w:rPr>
          <w:sz w:val="28"/>
        </w:rPr>
        <w:t xml:space="preserve"> </w:t>
      </w:r>
      <w:r w:rsidRPr="00325736">
        <w:rPr>
          <w:sz w:val="28"/>
        </w:rPr>
        <w:t xml:space="preserve">thu </w:t>
      </w:r>
      <w:r w:rsidR="00E4609B">
        <w:rPr>
          <w:sz w:val="28"/>
        </w:rPr>
        <w:t>bền vững</w:t>
      </w:r>
      <w:r w:rsidR="001E2DC1">
        <w:rPr>
          <w:sz w:val="28"/>
        </w:rPr>
        <w:t xml:space="preserve"> trên địa bàn</w:t>
      </w:r>
      <w:r w:rsidR="0062428D" w:rsidRPr="00325736">
        <w:rPr>
          <w:sz w:val="28"/>
        </w:rPr>
        <w:t>.</w:t>
      </w:r>
      <w:r w:rsidR="00BA2198" w:rsidRPr="00325736">
        <w:rPr>
          <w:sz w:val="28"/>
        </w:rPr>
        <w:t xml:space="preserve"> </w:t>
      </w:r>
    </w:p>
    <w:p w14:paraId="14F3E7C4" w14:textId="51E2B4B0" w:rsidR="00E4609B" w:rsidRDefault="00E4609B" w:rsidP="0011698D">
      <w:pPr>
        <w:widowControl w:val="0"/>
        <w:spacing w:before="120" w:after="120" w:line="264" w:lineRule="auto"/>
        <w:ind w:firstLine="709"/>
        <w:jc w:val="both"/>
        <w:rPr>
          <w:bCs/>
          <w:sz w:val="28"/>
          <w:szCs w:val="28"/>
        </w:rPr>
      </w:pPr>
      <w:r>
        <w:rPr>
          <w:bCs/>
          <w:sz w:val="28"/>
          <w:szCs w:val="28"/>
        </w:rPr>
        <w:t xml:space="preserve">- </w:t>
      </w:r>
      <w:r>
        <w:rPr>
          <w:bCs/>
          <w:sz w:val="28"/>
          <w:szCs w:val="28"/>
          <w:lang w:val="pt-BR"/>
        </w:rPr>
        <w:t xml:space="preserve">Chỉ đạo các ngành, địa phương phối hợp với cơ quan thuế mình </w:t>
      </w:r>
      <w:r w:rsidRPr="00FE5524">
        <w:rPr>
          <w:bCs/>
          <w:sz w:val="28"/>
          <w:szCs w:val="28"/>
          <w:lang w:val="pt-BR"/>
        </w:rPr>
        <w:t xml:space="preserve">tăng cường </w:t>
      </w:r>
      <w:r>
        <w:rPr>
          <w:bCs/>
          <w:sz w:val="28"/>
          <w:szCs w:val="28"/>
          <w:lang w:val="pt-BR"/>
        </w:rPr>
        <w:t xml:space="preserve">công tác </w:t>
      </w:r>
      <w:r w:rsidRPr="00FE5524">
        <w:rPr>
          <w:bCs/>
          <w:sz w:val="28"/>
          <w:szCs w:val="28"/>
          <w:lang w:val="pt-BR"/>
        </w:rPr>
        <w:t xml:space="preserve">quản lý thu, đẩy mạnh </w:t>
      </w:r>
      <w:r w:rsidRPr="00260B3C">
        <w:rPr>
          <w:bCs/>
          <w:sz w:val="28"/>
          <w:szCs w:val="28"/>
          <w:lang w:val="pt-BR"/>
        </w:rPr>
        <w:t>công tác thanh tra, kiểm tra thuế</w:t>
      </w:r>
      <w:r w:rsidRPr="00FE5524">
        <w:rPr>
          <w:bCs/>
          <w:sz w:val="28"/>
          <w:szCs w:val="28"/>
          <w:lang w:val="pt-BR"/>
        </w:rPr>
        <w:t xml:space="preserve"> chống thất thu</w:t>
      </w:r>
      <w:r>
        <w:rPr>
          <w:bCs/>
          <w:sz w:val="28"/>
          <w:szCs w:val="28"/>
          <w:lang w:val="pt-BR"/>
        </w:rPr>
        <w:t>,</w:t>
      </w:r>
      <w:r w:rsidRPr="00FE5524">
        <w:rPr>
          <w:bCs/>
          <w:sz w:val="28"/>
          <w:szCs w:val="28"/>
          <w:lang w:val="pt-BR"/>
        </w:rPr>
        <w:t xml:space="preserve"> </w:t>
      </w:r>
      <w:r w:rsidRPr="00260B3C">
        <w:rPr>
          <w:bCs/>
          <w:sz w:val="28"/>
          <w:szCs w:val="28"/>
          <w:lang w:val="pt-BR"/>
        </w:rPr>
        <w:t xml:space="preserve">trốn thuế; quản lý chặt chẽ công tác hoàn thuế, đảm bảo hoàn thuế đúng đối tượng và chế độ hiện hành, kiên quyết xử lý nghiêm các trường hợp trốn, gian lận thuế, chây ỳ trong thực hiện nghĩa vụ nộp ngân sách nhà nước. Thực hiện tốt các giải pháp khai thác nguồn thu, chống thất thu trong lĩnh vực đất đai, hoạt động khai thác tài nguyên, khoáng sản, hoạt động xăng dầu, kinh doanh bất động sản, hoạt động </w:t>
      </w:r>
      <w:r>
        <w:rPr>
          <w:bCs/>
          <w:sz w:val="28"/>
          <w:szCs w:val="28"/>
          <w:lang w:val="pt-BR"/>
        </w:rPr>
        <w:t>xây dựng cơ bản</w:t>
      </w:r>
      <w:r w:rsidRPr="00260B3C">
        <w:rPr>
          <w:bCs/>
          <w:sz w:val="28"/>
          <w:szCs w:val="28"/>
          <w:lang w:val="pt-BR"/>
        </w:rPr>
        <w:t xml:space="preserve"> vãng lai, vận tải hàng hóa; </w:t>
      </w:r>
      <w:r>
        <w:rPr>
          <w:bCs/>
          <w:sz w:val="28"/>
          <w:szCs w:val="28"/>
        </w:rPr>
        <w:t>giữ ổn định mức</w:t>
      </w:r>
      <w:r w:rsidRPr="00260B3C">
        <w:rPr>
          <w:bCs/>
          <w:sz w:val="28"/>
          <w:szCs w:val="28"/>
          <w:lang w:val="pt-BR"/>
        </w:rPr>
        <w:t xml:space="preserve"> nợ đọng thuế dưới 5% tổng thu NSNN trên địa bàn; đôn đốc thu nộp NSNN các khoản theo kết luận của cơ quan Thanh tra, Kiểm tra, Kiểm toán nhà nước theo quy định.</w:t>
      </w:r>
    </w:p>
    <w:p w14:paraId="37F1F3CC" w14:textId="77777777" w:rsidR="00E4609B" w:rsidRPr="00260B3C" w:rsidRDefault="00E4609B" w:rsidP="0011698D">
      <w:pPr>
        <w:widowControl w:val="0"/>
        <w:spacing w:before="120" w:after="120" w:line="264" w:lineRule="auto"/>
        <w:ind w:firstLine="709"/>
        <w:jc w:val="both"/>
        <w:rPr>
          <w:bCs/>
          <w:sz w:val="28"/>
          <w:szCs w:val="28"/>
          <w:lang w:val="pt-BR"/>
        </w:rPr>
      </w:pPr>
      <w:r>
        <w:rPr>
          <w:bCs/>
          <w:sz w:val="28"/>
          <w:szCs w:val="28"/>
          <w:lang w:val="pt-BR"/>
        </w:rPr>
        <w:t xml:space="preserve">- </w:t>
      </w:r>
      <w:r w:rsidRPr="00260B3C">
        <w:rPr>
          <w:bCs/>
          <w:sz w:val="28"/>
          <w:szCs w:val="28"/>
          <w:lang w:val="pt-BR"/>
        </w:rPr>
        <w:t>C</w:t>
      </w:r>
      <w:r>
        <w:rPr>
          <w:bCs/>
          <w:sz w:val="28"/>
          <w:szCs w:val="28"/>
          <w:lang w:val="pt-BR"/>
        </w:rPr>
        <w:t>hỉ đạo c</w:t>
      </w:r>
      <w:r w:rsidRPr="00260B3C">
        <w:rPr>
          <w:bCs/>
          <w:sz w:val="28"/>
          <w:szCs w:val="28"/>
          <w:lang w:val="pt-BR"/>
        </w:rPr>
        <w:t xml:space="preserve">ác đơn vị dự toán, các cấp ngân sách tổ chức điều hành chi ngân sách theo tiến độ thu và dự toán được giao; quản lý chi ngân sách chặt chẽ, </w:t>
      </w:r>
      <w:r>
        <w:rPr>
          <w:bCs/>
          <w:sz w:val="28"/>
          <w:szCs w:val="28"/>
          <w:lang w:val="pt-BR"/>
        </w:rPr>
        <w:t xml:space="preserve">tiết kiệm </w:t>
      </w:r>
      <w:r w:rsidRPr="00260B3C">
        <w:rPr>
          <w:bCs/>
          <w:sz w:val="28"/>
          <w:szCs w:val="28"/>
          <w:lang w:val="pt-BR"/>
        </w:rPr>
        <w:t>hiệu quả đúng định mức, chế độ quy định; giảm chi chuyển nguồn sang năm sau. Kịp thời giải quyết tốt các chế độ chính sách an sinh xã hội phát sinh, chế độ đối với người có công, người lao động; chủ động sử dụng nguồn ngân sách địa phương để thực hiện tốt công tác phòng chống thiên tai và dịch bệnh.</w:t>
      </w:r>
    </w:p>
    <w:p w14:paraId="44EA74F3" w14:textId="47196757" w:rsidR="00E4609B" w:rsidRDefault="00E4609B" w:rsidP="0011698D">
      <w:pPr>
        <w:widowControl w:val="0"/>
        <w:spacing w:before="120" w:after="120" w:line="264" w:lineRule="auto"/>
        <w:ind w:firstLine="709"/>
        <w:jc w:val="both"/>
        <w:rPr>
          <w:bCs/>
          <w:sz w:val="28"/>
          <w:szCs w:val="28"/>
          <w:lang w:val="pt-BR"/>
        </w:rPr>
      </w:pPr>
      <w:r>
        <w:rPr>
          <w:bCs/>
          <w:sz w:val="28"/>
          <w:szCs w:val="28"/>
          <w:lang w:val="pt-BR"/>
        </w:rPr>
        <w:t>- Siết chặt kỷ luật, kỷ cương tài chính ngân sách, t</w:t>
      </w:r>
      <w:r w:rsidRPr="00260B3C">
        <w:rPr>
          <w:bCs/>
          <w:sz w:val="28"/>
          <w:szCs w:val="28"/>
          <w:lang w:val="pt-BR"/>
        </w:rPr>
        <w:t xml:space="preserve">hực hành tiết kiệm, chống lãng phí; tăng cường công tác thanh tra, kiểm tra, giám sát, kiểm soát chi, kiên quyết không giải ngân, </w:t>
      </w:r>
      <w:r w:rsidR="001E2DC1">
        <w:rPr>
          <w:bCs/>
          <w:sz w:val="28"/>
          <w:szCs w:val="28"/>
        </w:rPr>
        <w:t xml:space="preserve">kiểm tra quyết toán, </w:t>
      </w:r>
      <w:r w:rsidRPr="00260B3C">
        <w:rPr>
          <w:bCs/>
          <w:sz w:val="28"/>
          <w:szCs w:val="28"/>
          <w:lang w:val="pt-BR"/>
        </w:rPr>
        <w:t>không quyết toán những khoản chi không đúng chế độ, chính sách, không có trong dự toán. Đối với nhiệm vụ bổ sung có mục tiêu, phải được thực hiện và quyết toán đúng yêu cầu về thời gian.</w:t>
      </w:r>
    </w:p>
    <w:p w14:paraId="29A69548" w14:textId="5BBDF278" w:rsidR="00E4609B" w:rsidRPr="00907BD6" w:rsidRDefault="006D7F52" w:rsidP="0011698D">
      <w:pPr>
        <w:widowControl w:val="0"/>
        <w:spacing w:before="120" w:after="120" w:line="264" w:lineRule="auto"/>
        <w:ind w:firstLine="709"/>
        <w:jc w:val="both"/>
        <w:rPr>
          <w:sz w:val="28"/>
          <w:szCs w:val="28"/>
        </w:rPr>
      </w:pPr>
      <w:r w:rsidRPr="006D7F52">
        <w:rPr>
          <w:sz w:val="28"/>
          <w:szCs w:val="28"/>
          <w:lang w:val="nl-NL"/>
        </w:rPr>
        <w:t>- Chỉ đạo rà soát, kiểm tra việc điều hành ngân sách và xử lý các khoản thu chi ngân sách cuối năm, nhất là ở cấp huyện, chấn chỉnh việc sử dụng các nguồn kinh phí có tính chất lương, chi thường xuyên khác để bố trí đầu tư, mua sắm</w:t>
      </w:r>
      <w:r w:rsidRPr="006D7F52">
        <w:rPr>
          <w:sz w:val="28"/>
          <w:szCs w:val="28"/>
          <w:vertAlign w:val="superscript"/>
        </w:rPr>
        <w:t>(</w:t>
      </w:r>
      <w:r w:rsidRPr="006D7F52">
        <w:rPr>
          <w:rStyle w:val="FootnoteReference"/>
          <w:sz w:val="28"/>
          <w:szCs w:val="28"/>
          <w:lang w:val="nl-NL"/>
        </w:rPr>
        <w:footnoteReference w:id="13"/>
      </w:r>
      <w:r w:rsidRPr="006D7F52">
        <w:rPr>
          <w:sz w:val="28"/>
          <w:szCs w:val="28"/>
          <w:vertAlign w:val="superscript"/>
        </w:rPr>
        <w:t>)</w:t>
      </w:r>
      <w:r w:rsidRPr="006D7F52">
        <w:rPr>
          <w:sz w:val="28"/>
          <w:szCs w:val="28"/>
          <w:lang w:val="nl-NL"/>
        </w:rPr>
        <w:t xml:space="preserve">. </w:t>
      </w:r>
      <w:r w:rsidRPr="007511C6">
        <w:rPr>
          <w:sz w:val="28"/>
          <w:szCs w:val="28"/>
          <w:lang w:val="pt-BR"/>
        </w:rPr>
        <w:t xml:space="preserve"> </w:t>
      </w:r>
      <w:r w:rsidR="00E4609B">
        <w:rPr>
          <w:sz w:val="28"/>
          <w:szCs w:val="28"/>
          <w:shd w:val="clear" w:color="auto" w:fill="FFFFFF"/>
        </w:rPr>
        <w:t>Thực hiện tốt chính sách an sinh xã hội, triển khai các gói hỗ trợ của Chính phủ, hỗ trợ kịp thời các đối tượng gặp khó khăn do đại dịch Covid-19.</w:t>
      </w:r>
    </w:p>
    <w:p w14:paraId="013A9FE1" w14:textId="7931CC12" w:rsidR="00E4609B" w:rsidRDefault="001E2DC1" w:rsidP="0011698D">
      <w:pPr>
        <w:spacing w:before="120" w:after="120" w:line="264" w:lineRule="auto"/>
        <w:ind w:firstLine="709"/>
        <w:jc w:val="both"/>
        <w:rPr>
          <w:sz w:val="28"/>
        </w:rPr>
      </w:pPr>
      <w:r w:rsidRPr="001E2DC1">
        <w:rPr>
          <w:sz w:val="28"/>
        </w:rPr>
        <w:t xml:space="preserve">- </w:t>
      </w:r>
      <w:r w:rsidR="002B2895">
        <w:rPr>
          <w:sz w:val="28"/>
        </w:rPr>
        <w:t>Chỉ đạo tổng hợp, báo cáo việc thực hiện chính sách, pháp luật về thực hành tiết kiệm, chống lãng phí giai đoạn 2016-2021 theo đúng yêu cầu của Đoàn giám sát của Quốc hội.</w:t>
      </w:r>
    </w:p>
    <w:p w14:paraId="2E8EE4CD" w14:textId="77777777" w:rsidR="00151A66" w:rsidRPr="00325736" w:rsidRDefault="00151A66" w:rsidP="0011698D">
      <w:pPr>
        <w:spacing w:before="120" w:after="120" w:line="264" w:lineRule="auto"/>
        <w:ind w:firstLine="709"/>
        <w:jc w:val="both"/>
        <w:rPr>
          <w:b/>
          <w:sz w:val="28"/>
        </w:rPr>
      </w:pPr>
      <w:r w:rsidRPr="00325736">
        <w:rPr>
          <w:b/>
          <w:sz w:val="28"/>
        </w:rPr>
        <w:t>2.5. Một số nội dung đề xuất, kiến nghị</w:t>
      </w:r>
    </w:p>
    <w:p w14:paraId="2E8EE4CE" w14:textId="2E5DF90E" w:rsidR="009B6B55" w:rsidRDefault="009B6B55" w:rsidP="0011698D">
      <w:pPr>
        <w:spacing w:before="120" w:after="120" w:line="264" w:lineRule="auto"/>
        <w:ind w:firstLine="709"/>
        <w:jc w:val="both"/>
        <w:rPr>
          <w:rFonts w:eastAsia="Calibri"/>
          <w:sz w:val="28"/>
          <w:szCs w:val="28"/>
        </w:rPr>
      </w:pPr>
      <w:r w:rsidRPr="00325736">
        <w:rPr>
          <w:rFonts w:eastAsia="Calibri"/>
          <w:sz w:val="28"/>
          <w:szCs w:val="28"/>
        </w:rPr>
        <w:lastRenderedPageBreak/>
        <w:t>Trên cơ sở ý kiến tham gia thảo luận của các đại biểu tại cuộc họp thẩm tra, Ban Kinh tế - Ngân sách Hội đồng nhân dân tỉnh đề nghị Ủy ban nhân dân tỉnh tiếp thu, giải trình một số nội dung sau:</w:t>
      </w:r>
    </w:p>
    <w:p w14:paraId="7DDDA776" w14:textId="352939E6" w:rsidR="008E610B" w:rsidRPr="007511C6" w:rsidRDefault="00222BF2" w:rsidP="0011698D">
      <w:pPr>
        <w:tabs>
          <w:tab w:val="right" w:pos="9100"/>
        </w:tabs>
        <w:spacing w:before="120" w:after="120" w:line="264" w:lineRule="auto"/>
        <w:ind w:firstLine="729"/>
        <w:jc w:val="both"/>
        <w:rPr>
          <w:rFonts w:eastAsia="Calibri"/>
          <w:sz w:val="28"/>
          <w:szCs w:val="28"/>
        </w:rPr>
      </w:pPr>
      <w:r w:rsidRPr="007511C6">
        <w:rPr>
          <w:rFonts w:eastAsia="Calibri"/>
          <w:sz w:val="28"/>
          <w:szCs w:val="28"/>
        </w:rPr>
        <w:t xml:space="preserve">- Đề nghị </w:t>
      </w:r>
      <w:r w:rsidR="008E66AE" w:rsidRPr="007511C6">
        <w:rPr>
          <w:rFonts w:eastAsia="Calibri"/>
          <w:sz w:val="28"/>
          <w:szCs w:val="28"/>
        </w:rPr>
        <w:t>báo cáo làm rõ việc xây dựng dự toán thu NSNN trên địa bàn 3.600.000 triệu đồng</w:t>
      </w:r>
      <w:r w:rsidR="008E66AE" w:rsidRPr="007511C6">
        <w:rPr>
          <w:rFonts w:eastAsia="Calibri"/>
          <w:sz w:val="28"/>
          <w:szCs w:val="28"/>
          <w:vertAlign w:val="superscript"/>
        </w:rPr>
        <w:t>(</w:t>
      </w:r>
      <w:r w:rsidR="008E66AE" w:rsidRPr="008E66AE">
        <w:rPr>
          <w:rStyle w:val="FootnoteReference"/>
          <w:rFonts w:eastAsia="Calibri"/>
          <w:sz w:val="28"/>
          <w:szCs w:val="28"/>
          <w:lang w:val="en-US"/>
        </w:rPr>
        <w:footnoteReference w:id="14"/>
      </w:r>
      <w:r w:rsidR="008E66AE" w:rsidRPr="007511C6">
        <w:rPr>
          <w:rFonts w:eastAsia="Calibri"/>
          <w:sz w:val="28"/>
          <w:szCs w:val="28"/>
          <w:vertAlign w:val="superscript"/>
        </w:rPr>
        <w:t>)</w:t>
      </w:r>
      <w:r w:rsidR="008E66AE" w:rsidRPr="007511C6">
        <w:rPr>
          <w:rFonts w:eastAsia="Calibri"/>
          <w:sz w:val="28"/>
          <w:szCs w:val="28"/>
        </w:rPr>
        <w:t xml:space="preserve"> </w:t>
      </w:r>
      <w:r w:rsidR="008E66AE">
        <w:rPr>
          <w:bCs/>
          <w:sz w:val="28"/>
          <w:szCs w:val="28"/>
          <w:lang w:val="sv-SE"/>
        </w:rPr>
        <w:t xml:space="preserve">có đảm bảo tỷ lệ </w:t>
      </w:r>
      <w:r w:rsidR="00C743A7" w:rsidRPr="00B07ED1">
        <w:rPr>
          <w:bCs/>
          <w:sz w:val="28"/>
          <w:szCs w:val="28"/>
          <w:lang w:val="sv-SE"/>
        </w:rPr>
        <w:t xml:space="preserve">tăng </w:t>
      </w:r>
      <w:r w:rsidR="00E3559E" w:rsidRPr="00B07ED1">
        <w:rPr>
          <w:bCs/>
          <w:sz w:val="28"/>
          <w:szCs w:val="28"/>
        </w:rPr>
        <w:t xml:space="preserve">bình quân </w:t>
      </w:r>
      <w:r w:rsidR="008E66AE" w:rsidRPr="00B07ED1">
        <w:rPr>
          <w:bCs/>
          <w:sz w:val="28"/>
          <w:szCs w:val="28"/>
          <w:lang w:val="sv-SE"/>
        </w:rPr>
        <w:t>năm</w:t>
      </w:r>
      <w:r w:rsidR="00E3559E" w:rsidRPr="00B07ED1">
        <w:rPr>
          <w:bCs/>
          <w:sz w:val="28"/>
          <w:szCs w:val="28"/>
        </w:rPr>
        <w:t xml:space="preserve"> </w:t>
      </w:r>
      <w:r w:rsidR="00E3559E">
        <w:rPr>
          <w:bCs/>
          <w:sz w:val="28"/>
          <w:szCs w:val="28"/>
        </w:rPr>
        <w:t>và thu ngân sách đến năm 2025</w:t>
      </w:r>
      <w:r w:rsidR="008E66AE">
        <w:rPr>
          <w:bCs/>
          <w:sz w:val="28"/>
          <w:szCs w:val="28"/>
          <w:lang w:val="sv-SE"/>
        </w:rPr>
        <w:t xml:space="preserve"> </w:t>
      </w:r>
      <w:r w:rsidR="00E3559E">
        <w:rPr>
          <w:bCs/>
          <w:sz w:val="28"/>
          <w:szCs w:val="28"/>
        </w:rPr>
        <w:t xml:space="preserve">đạt </w:t>
      </w:r>
      <w:r w:rsidR="008E66AE">
        <w:rPr>
          <w:bCs/>
          <w:sz w:val="28"/>
          <w:szCs w:val="28"/>
          <w:lang w:val="sv-SE"/>
        </w:rPr>
        <w:t xml:space="preserve">theo Nghị quyết </w:t>
      </w:r>
      <w:r w:rsidR="004F2272" w:rsidRPr="00325736">
        <w:rPr>
          <w:rFonts w:eastAsia="Calibri"/>
          <w:sz w:val="28"/>
          <w:szCs w:val="28"/>
        </w:rPr>
        <w:t xml:space="preserve">Hội đồng nhân dân </w:t>
      </w:r>
      <w:r w:rsidR="008E66AE">
        <w:rPr>
          <w:bCs/>
          <w:sz w:val="28"/>
          <w:szCs w:val="28"/>
          <w:lang w:val="sv-SE"/>
        </w:rPr>
        <w:t>tỉnh đề ra</w:t>
      </w:r>
      <w:r w:rsidR="00C743A7">
        <w:rPr>
          <w:bCs/>
          <w:sz w:val="28"/>
          <w:szCs w:val="28"/>
          <w:lang w:val="sv-SE"/>
        </w:rPr>
        <w:t>.</w:t>
      </w:r>
    </w:p>
    <w:p w14:paraId="25474104" w14:textId="36653022" w:rsidR="008E610B" w:rsidRPr="00503347" w:rsidRDefault="008E610B" w:rsidP="0011698D">
      <w:pPr>
        <w:tabs>
          <w:tab w:val="right" w:pos="9100"/>
        </w:tabs>
        <w:spacing w:before="120" w:after="120" w:line="264" w:lineRule="auto"/>
        <w:ind w:firstLine="729"/>
        <w:jc w:val="both"/>
        <w:rPr>
          <w:strike/>
          <w:sz w:val="28"/>
          <w:szCs w:val="28"/>
        </w:rPr>
      </w:pPr>
      <w:r w:rsidRPr="00D253ED">
        <w:rPr>
          <w:sz w:val="28"/>
          <w:szCs w:val="28"/>
        </w:rPr>
        <w:t xml:space="preserve">- Đề nghị </w:t>
      </w:r>
      <w:r w:rsidR="0011698D" w:rsidRPr="00D253ED">
        <w:rPr>
          <w:sz w:val="28"/>
          <w:szCs w:val="28"/>
        </w:rPr>
        <w:t xml:space="preserve">giao </w:t>
      </w:r>
      <w:r w:rsidR="007536E7" w:rsidRPr="00D253ED">
        <w:rPr>
          <w:sz w:val="28"/>
          <w:szCs w:val="28"/>
        </w:rPr>
        <w:t xml:space="preserve">dự toán </w:t>
      </w:r>
      <w:r w:rsidR="0011698D" w:rsidRPr="00D253ED">
        <w:rPr>
          <w:sz w:val="28"/>
          <w:szCs w:val="28"/>
        </w:rPr>
        <w:t xml:space="preserve">thu </w:t>
      </w:r>
      <w:r w:rsidR="007536E7" w:rsidRPr="00D253ED">
        <w:rPr>
          <w:sz w:val="28"/>
          <w:szCs w:val="28"/>
        </w:rPr>
        <w:t>chi ngân sách</w:t>
      </w:r>
      <w:r w:rsidR="0011698D" w:rsidRPr="00D253ED">
        <w:rPr>
          <w:sz w:val="28"/>
          <w:szCs w:val="28"/>
        </w:rPr>
        <w:t xml:space="preserve"> địa phương đảm bảo</w:t>
      </w:r>
      <w:r w:rsidR="007536E7" w:rsidRPr="00D253ED">
        <w:rPr>
          <w:sz w:val="28"/>
          <w:szCs w:val="28"/>
        </w:rPr>
        <w:t xml:space="preserve"> </w:t>
      </w:r>
      <w:r w:rsidRPr="007511C6">
        <w:rPr>
          <w:sz w:val="28"/>
          <w:szCs w:val="28"/>
        </w:rPr>
        <w:t xml:space="preserve">chi tiết </w:t>
      </w:r>
      <w:r w:rsidR="00B837A4" w:rsidRPr="007511C6">
        <w:rPr>
          <w:sz w:val="28"/>
          <w:szCs w:val="28"/>
        </w:rPr>
        <w:t xml:space="preserve">theo từng lĩnh vực, cơ quan, đơn vị sử dụng </w:t>
      </w:r>
      <w:r w:rsidR="00B837A4" w:rsidRPr="0011698D">
        <w:rPr>
          <w:bCs/>
          <w:sz w:val="28"/>
          <w:szCs w:val="28"/>
          <w:lang w:val="sv-SE"/>
        </w:rPr>
        <w:t>ngân</w:t>
      </w:r>
      <w:r w:rsidR="00B837A4" w:rsidRPr="007511C6">
        <w:rPr>
          <w:sz w:val="28"/>
          <w:szCs w:val="28"/>
        </w:rPr>
        <w:t xml:space="preserve"> sách; </w:t>
      </w:r>
      <w:r>
        <w:rPr>
          <w:sz w:val="28"/>
          <w:szCs w:val="28"/>
        </w:rPr>
        <w:t xml:space="preserve">nội dung, nhiệm vụ chi </w:t>
      </w:r>
      <w:r w:rsidR="00B837A4" w:rsidRPr="007511C6">
        <w:rPr>
          <w:sz w:val="28"/>
          <w:szCs w:val="28"/>
        </w:rPr>
        <w:t xml:space="preserve">theo chế độ, định mức và dự toán được cấp thẩm quyền phê duyệt </w:t>
      </w:r>
      <w:r>
        <w:rPr>
          <w:sz w:val="28"/>
          <w:szCs w:val="28"/>
        </w:rPr>
        <w:t xml:space="preserve">đảm theo quy định </w:t>
      </w:r>
      <w:r w:rsidR="00446362" w:rsidRPr="007511C6">
        <w:rPr>
          <w:sz w:val="28"/>
          <w:szCs w:val="28"/>
        </w:rPr>
        <w:t xml:space="preserve">của </w:t>
      </w:r>
      <w:r w:rsidR="00D253ED">
        <w:rPr>
          <w:sz w:val="28"/>
          <w:szCs w:val="28"/>
        </w:rPr>
        <w:t>Luật Ngân sách nhà nước.</w:t>
      </w:r>
    </w:p>
    <w:p w14:paraId="7B372498" w14:textId="55C673B2" w:rsidR="002B28C0" w:rsidRDefault="00084594" w:rsidP="0011698D">
      <w:pPr>
        <w:tabs>
          <w:tab w:val="right" w:pos="9100"/>
        </w:tabs>
        <w:spacing w:before="120" w:after="120" w:line="264" w:lineRule="auto"/>
        <w:ind w:firstLine="729"/>
        <w:jc w:val="both"/>
        <w:rPr>
          <w:iCs/>
          <w:sz w:val="28"/>
          <w:szCs w:val="28"/>
          <w:lang w:val="sv-SE"/>
        </w:rPr>
      </w:pPr>
      <w:r w:rsidRPr="00325736">
        <w:rPr>
          <w:sz w:val="28"/>
          <w:szCs w:val="28"/>
          <w:lang w:val="sv-SE"/>
        </w:rPr>
        <w:t xml:space="preserve">- </w:t>
      </w:r>
      <w:r w:rsidR="00D253ED" w:rsidRPr="00D253ED">
        <w:rPr>
          <w:sz w:val="28"/>
          <w:szCs w:val="28"/>
        </w:rPr>
        <w:t>C</w:t>
      </w:r>
      <w:r w:rsidR="00BF73F3" w:rsidRPr="00325736">
        <w:rPr>
          <w:sz w:val="28"/>
          <w:szCs w:val="28"/>
          <w:lang w:val="sv-SE"/>
        </w:rPr>
        <w:t>hỉ đạo</w:t>
      </w:r>
      <w:r w:rsidR="0056015F" w:rsidRPr="00325736">
        <w:rPr>
          <w:sz w:val="28"/>
          <w:szCs w:val="28"/>
          <w:lang w:val="sv-SE"/>
        </w:rPr>
        <w:t xml:space="preserve"> </w:t>
      </w:r>
      <w:r w:rsidR="0056015F" w:rsidRPr="00325736">
        <w:rPr>
          <w:sz w:val="28"/>
          <w:szCs w:val="28"/>
          <w:lang w:val="nl-NL"/>
        </w:rPr>
        <w:t xml:space="preserve">rà soát, cập nhật, </w:t>
      </w:r>
      <w:r w:rsidR="0056015F" w:rsidRPr="00325736">
        <w:rPr>
          <w:sz w:val="28"/>
          <w:szCs w:val="28"/>
          <w:lang w:val="sv-SE"/>
        </w:rPr>
        <w:t xml:space="preserve">điều chỉnh dự toán thu, chi ngân sách </w:t>
      </w:r>
      <w:r w:rsidR="0056015F" w:rsidRPr="00325736">
        <w:rPr>
          <w:sz w:val="28"/>
          <w:szCs w:val="28"/>
          <w:lang w:val="nl-NL"/>
        </w:rPr>
        <w:t>đảm bảo phù hợp với</w:t>
      </w:r>
      <w:r w:rsidR="001C0238">
        <w:rPr>
          <w:sz w:val="28"/>
          <w:szCs w:val="28"/>
        </w:rPr>
        <w:t xml:space="preserve"> số liệu dự toán được Thủ tướng Chính phủ, Bộ </w:t>
      </w:r>
      <w:r w:rsidR="007F6789">
        <w:rPr>
          <w:sz w:val="28"/>
          <w:szCs w:val="28"/>
        </w:rPr>
        <w:t xml:space="preserve">Tài chính, Bộ Kế hoạch và </w:t>
      </w:r>
      <w:r w:rsidR="007F6789" w:rsidRPr="0011698D">
        <w:rPr>
          <w:bCs/>
          <w:sz w:val="28"/>
          <w:szCs w:val="28"/>
          <w:lang w:val="sv-SE"/>
        </w:rPr>
        <w:t>Đầu</w:t>
      </w:r>
      <w:r w:rsidR="007F6789">
        <w:rPr>
          <w:sz w:val="28"/>
          <w:szCs w:val="28"/>
        </w:rPr>
        <w:t xml:space="preserve"> tư</w:t>
      </w:r>
      <w:r w:rsidR="00E3559E">
        <w:rPr>
          <w:sz w:val="28"/>
          <w:szCs w:val="28"/>
        </w:rPr>
        <w:t xml:space="preserve"> </w:t>
      </w:r>
      <w:r w:rsidR="00E3559E" w:rsidRPr="0011698D">
        <w:rPr>
          <w:sz w:val="28"/>
          <w:szCs w:val="28"/>
        </w:rPr>
        <w:t>giao</w:t>
      </w:r>
      <w:r w:rsidR="001C0238">
        <w:rPr>
          <w:sz w:val="28"/>
          <w:szCs w:val="28"/>
        </w:rPr>
        <w:t>,</w:t>
      </w:r>
      <w:r w:rsidR="0056015F" w:rsidRPr="00325736">
        <w:rPr>
          <w:sz w:val="28"/>
          <w:szCs w:val="28"/>
          <w:lang w:val="nl-NL"/>
        </w:rPr>
        <w:t xml:space="preserve"> </w:t>
      </w:r>
      <w:r w:rsidR="0056015F" w:rsidRPr="00325736">
        <w:rPr>
          <w:sz w:val="28"/>
          <w:szCs w:val="28"/>
          <w:lang w:val="sv-SE"/>
        </w:rPr>
        <w:t xml:space="preserve">Nghị quyết Ban chấp hành Đảng bộ tỉnh và chỉ đạo của Ban Thường vụ Tỉnh ủy; đảm bảo </w:t>
      </w:r>
      <w:r w:rsidR="00BF73F3" w:rsidRPr="00325736">
        <w:rPr>
          <w:sz w:val="28"/>
          <w:szCs w:val="28"/>
          <w:lang w:val="sv-SE"/>
        </w:rPr>
        <w:t xml:space="preserve">số liệu phân bổ </w:t>
      </w:r>
      <w:r w:rsidR="006D7F52">
        <w:rPr>
          <w:sz w:val="28"/>
          <w:szCs w:val="28"/>
        </w:rPr>
        <w:t xml:space="preserve">dự toán bám sát theo nguyên tắc tiêu chí, định mức phân bổ, phân cấp nguồn thu, nhiệm vụ chi từng cấp ngân sách, </w:t>
      </w:r>
      <w:r w:rsidR="00BF73F3" w:rsidRPr="00325736">
        <w:rPr>
          <w:sz w:val="28"/>
          <w:szCs w:val="28"/>
          <w:lang w:val="sv-SE"/>
        </w:rPr>
        <w:t xml:space="preserve">khớp đúng giữa dự toán thu, chi </w:t>
      </w:r>
      <w:r w:rsidR="00DB56DD" w:rsidRPr="00325736">
        <w:rPr>
          <w:sz w:val="28"/>
          <w:szCs w:val="28"/>
          <w:lang w:val="sv-SE"/>
        </w:rPr>
        <w:t xml:space="preserve">và các nội dung liên quan đến kế hoạch đầu tư </w:t>
      </w:r>
      <w:r w:rsidR="00A520A1" w:rsidRPr="00325736">
        <w:rPr>
          <w:sz w:val="28"/>
          <w:szCs w:val="28"/>
        </w:rPr>
        <w:t xml:space="preserve">công </w:t>
      </w:r>
      <w:r w:rsidR="00DB56DD" w:rsidRPr="00325736">
        <w:rPr>
          <w:sz w:val="28"/>
          <w:szCs w:val="28"/>
          <w:lang w:val="sv-SE"/>
        </w:rPr>
        <w:t>trong năm 202</w:t>
      </w:r>
      <w:r w:rsidR="006D7F52">
        <w:rPr>
          <w:sz w:val="28"/>
          <w:szCs w:val="28"/>
        </w:rPr>
        <w:t>2</w:t>
      </w:r>
      <w:r w:rsidR="00BD0669" w:rsidRPr="00651B89">
        <w:rPr>
          <w:i/>
          <w:sz w:val="28"/>
          <w:szCs w:val="28"/>
          <w:lang w:val="sv-SE"/>
        </w:rPr>
        <w:t>.</w:t>
      </w:r>
    </w:p>
    <w:p w14:paraId="4CF334C4" w14:textId="234E6A89" w:rsidR="008E610B" w:rsidRPr="008E610B" w:rsidRDefault="008E610B" w:rsidP="0011698D">
      <w:pPr>
        <w:tabs>
          <w:tab w:val="right" w:pos="9100"/>
        </w:tabs>
        <w:spacing w:before="120" w:after="120" w:line="264" w:lineRule="auto"/>
        <w:ind w:firstLine="729"/>
        <w:jc w:val="both"/>
        <w:rPr>
          <w:sz w:val="28"/>
        </w:rPr>
      </w:pPr>
      <w:r w:rsidRPr="008E610B">
        <w:rPr>
          <w:sz w:val="28"/>
        </w:rPr>
        <w:t xml:space="preserve">- Biên tập, Hoàn thiện dự thảo Nghị quyết theo quy </w:t>
      </w:r>
      <w:r w:rsidRPr="008E610B">
        <w:rPr>
          <w:rFonts w:hint="eastAsia"/>
          <w:sz w:val="28"/>
        </w:rPr>
        <w:t>đ</w:t>
      </w:r>
      <w:r w:rsidRPr="008E610B">
        <w:rPr>
          <w:sz w:val="28"/>
        </w:rPr>
        <w:t>ịnh về thể thức và kỹ thuật trình bày v</w:t>
      </w:r>
      <w:r w:rsidRPr="008E610B">
        <w:rPr>
          <w:rFonts w:hint="eastAsia"/>
          <w:sz w:val="28"/>
        </w:rPr>
        <w:t>ă</w:t>
      </w:r>
      <w:r w:rsidRPr="008E610B">
        <w:rPr>
          <w:sz w:val="28"/>
        </w:rPr>
        <w:t>n bản.</w:t>
      </w:r>
    </w:p>
    <w:p w14:paraId="2E8EE4D1" w14:textId="2D0D6817" w:rsidR="007E06BC" w:rsidRPr="00325736" w:rsidRDefault="007E06BC" w:rsidP="0011698D">
      <w:pPr>
        <w:tabs>
          <w:tab w:val="right" w:pos="9100"/>
        </w:tabs>
        <w:spacing w:before="120" w:after="120" w:line="264" w:lineRule="auto"/>
        <w:ind w:firstLine="729"/>
        <w:jc w:val="both"/>
        <w:rPr>
          <w:sz w:val="28"/>
        </w:rPr>
      </w:pPr>
      <w:r w:rsidRPr="00325736">
        <w:rPr>
          <w:sz w:val="28"/>
        </w:rPr>
        <w:t>Trên đây là báo cáo thẩm tra của Ban Kinh tế - Ngân sách.</w:t>
      </w:r>
      <w:r w:rsidR="005F6527" w:rsidRPr="00325736">
        <w:rPr>
          <w:sz w:val="28"/>
        </w:rPr>
        <w:t xml:space="preserve"> </w:t>
      </w:r>
      <w:r w:rsidRPr="00325736">
        <w:rPr>
          <w:sz w:val="28"/>
        </w:rPr>
        <w:t xml:space="preserve">Kính trình Hội đồng nhân dân tỉnh </w:t>
      </w:r>
      <w:r w:rsidR="00556DF1" w:rsidRPr="00325736">
        <w:rPr>
          <w:sz w:val="28"/>
        </w:rPr>
        <w:t xml:space="preserve">Khóa </w:t>
      </w:r>
      <w:r w:rsidRPr="00325736">
        <w:rPr>
          <w:sz w:val="28"/>
        </w:rPr>
        <w:t>X</w:t>
      </w:r>
      <w:r w:rsidR="00AD3791">
        <w:rPr>
          <w:sz w:val="28"/>
        </w:rPr>
        <w:t>I</w:t>
      </w:r>
      <w:r w:rsidRPr="00325736">
        <w:rPr>
          <w:sz w:val="28"/>
        </w:rPr>
        <w:t xml:space="preserve">I </w:t>
      </w:r>
      <w:r w:rsidR="00556DF1" w:rsidRPr="0011698D">
        <w:rPr>
          <w:bCs/>
          <w:sz w:val="28"/>
          <w:szCs w:val="28"/>
          <w:lang w:val="sv-SE"/>
        </w:rPr>
        <w:t>Kỳ</w:t>
      </w:r>
      <w:r w:rsidR="00556DF1" w:rsidRPr="00325736">
        <w:rPr>
          <w:sz w:val="28"/>
        </w:rPr>
        <w:t xml:space="preserve"> </w:t>
      </w:r>
      <w:r w:rsidRPr="00325736">
        <w:rPr>
          <w:sz w:val="28"/>
        </w:rPr>
        <w:t xml:space="preserve">họp thứ </w:t>
      </w:r>
      <w:r w:rsidR="00AD3791">
        <w:rPr>
          <w:sz w:val="28"/>
        </w:rPr>
        <w:t>2</w:t>
      </w:r>
      <w:r w:rsidRPr="00325736">
        <w:rPr>
          <w:sz w:val="28"/>
        </w:rPr>
        <w:t xml:space="preserve"> xem xét, quyết định./.</w:t>
      </w:r>
    </w:p>
    <w:tbl>
      <w:tblPr>
        <w:tblW w:w="5000" w:type="pct"/>
        <w:tblLook w:val="01E0" w:firstRow="1" w:lastRow="1" w:firstColumn="1" w:lastColumn="1" w:noHBand="0" w:noVBand="0"/>
      </w:tblPr>
      <w:tblGrid>
        <w:gridCol w:w="4132"/>
        <w:gridCol w:w="5298"/>
      </w:tblGrid>
      <w:tr w:rsidR="003940FF" w:rsidRPr="00325736" w14:paraId="2E8EE4DF" w14:textId="77777777" w:rsidTr="00341559">
        <w:tc>
          <w:tcPr>
            <w:tcW w:w="2191" w:type="pct"/>
            <w:shd w:val="clear" w:color="auto" w:fill="auto"/>
          </w:tcPr>
          <w:p w14:paraId="2E8EE4D2" w14:textId="77777777" w:rsidR="00852FDD" w:rsidRPr="00325736" w:rsidRDefault="00852FDD" w:rsidP="00AF0960">
            <w:pPr>
              <w:spacing w:before="60"/>
              <w:ind w:right="-514"/>
              <w:jc w:val="both"/>
              <w:rPr>
                <w:b/>
                <w:i/>
              </w:rPr>
            </w:pPr>
            <w:r w:rsidRPr="00325736">
              <w:rPr>
                <w:b/>
                <w:i/>
              </w:rPr>
              <w:t>Nơi nhận:</w:t>
            </w:r>
          </w:p>
          <w:p w14:paraId="2E8EE4D3" w14:textId="77777777" w:rsidR="00852FDD" w:rsidRPr="00325736" w:rsidRDefault="00852FDD" w:rsidP="00AF0960">
            <w:pPr>
              <w:ind w:right="-514"/>
              <w:jc w:val="both"/>
              <w:rPr>
                <w:sz w:val="22"/>
              </w:rPr>
            </w:pPr>
            <w:r w:rsidRPr="00325736">
              <w:rPr>
                <w:sz w:val="22"/>
              </w:rPr>
              <w:t>- Thường trực HĐND tỉnh;</w:t>
            </w:r>
          </w:p>
          <w:p w14:paraId="2E8EE4D4" w14:textId="77777777" w:rsidR="00B94BD9" w:rsidRPr="00325736" w:rsidRDefault="00B94BD9" w:rsidP="00AF0960">
            <w:pPr>
              <w:ind w:right="-514"/>
              <w:jc w:val="both"/>
              <w:rPr>
                <w:sz w:val="22"/>
              </w:rPr>
            </w:pPr>
            <w:r w:rsidRPr="00325736">
              <w:rPr>
                <w:sz w:val="22"/>
              </w:rPr>
              <w:t>- UBND tỉnh;</w:t>
            </w:r>
          </w:p>
          <w:p w14:paraId="2E8EE4D5" w14:textId="77777777" w:rsidR="00852FDD" w:rsidRPr="00325736" w:rsidRDefault="00852FDD" w:rsidP="00AF0960">
            <w:pPr>
              <w:ind w:right="-514"/>
              <w:jc w:val="both"/>
              <w:rPr>
                <w:sz w:val="22"/>
              </w:rPr>
            </w:pPr>
            <w:r w:rsidRPr="00325736">
              <w:rPr>
                <w:sz w:val="22"/>
              </w:rPr>
              <w:t>- Đại biểu HĐND tỉnh;</w:t>
            </w:r>
          </w:p>
          <w:p w14:paraId="2E8EE4D6" w14:textId="77777777" w:rsidR="00852FDD" w:rsidRPr="00325736" w:rsidRDefault="00852FDD" w:rsidP="007E06BC">
            <w:pPr>
              <w:ind w:right="-514"/>
              <w:jc w:val="both"/>
            </w:pPr>
            <w:r w:rsidRPr="00325736">
              <w:rPr>
                <w:sz w:val="22"/>
              </w:rPr>
              <w:t>- Lưu: VT, KT-NS</w:t>
            </w:r>
            <w:r w:rsidRPr="00325736">
              <w:rPr>
                <w:sz w:val="14"/>
              </w:rPr>
              <w:t>.</w:t>
            </w:r>
          </w:p>
        </w:tc>
        <w:tc>
          <w:tcPr>
            <w:tcW w:w="2809" w:type="pct"/>
            <w:shd w:val="clear" w:color="auto" w:fill="auto"/>
          </w:tcPr>
          <w:p w14:paraId="2E8EE4D7" w14:textId="77777777" w:rsidR="00852FDD" w:rsidRPr="00325736" w:rsidRDefault="00852FDD" w:rsidP="00AF0960">
            <w:pPr>
              <w:spacing w:before="60"/>
              <w:ind w:right="-514" w:hanging="114"/>
              <w:jc w:val="center"/>
              <w:rPr>
                <w:b/>
                <w:sz w:val="28"/>
              </w:rPr>
            </w:pPr>
            <w:r w:rsidRPr="00325736">
              <w:rPr>
                <w:b/>
                <w:sz w:val="28"/>
              </w:rPr>
              <w:t xml:space="preserve">TM. BAN KINH TẾ </w:t>
            </w:r>
            <w:r w:rsidR="007E06BC" w:rsidRPr="00325736">
              <w:rPr>
                <w:b/>
                <w:sz w:val="28"/>
              </w:rPr>
              <w:t>-</w:t>
            </w:r>
            <w:r w:rsidRPr="00325736">
              <w:rPr>
                <w:b/>
                <w:sz w:val="28"/>
              </w:rPr>
              <w:t xml:space="preserve"> NGÂN SÁCH</w:t>
            </w:r>
          </w:p>
          <w:p w14:paraId="2E8EE4D8" w14:textId="77777777" w:rsidR="00852FDD" w:rsidRPr="00325736" w:rsidRDefault="00852FDD" w:rsidP="00AF0960">
            <w:pPr>
              <w:ind w:right="-514"/>
              <w:jc w:val="center"/>
              <w:rPr>
                <w:b/>
                <w:sz w:val="28"/>
              </w:rPr>
            </w:pPr>
            <w:r w:rsidRPr="00325736">
              <w:rPr>
                <w:b/>
                <w:sz w:val="28"/>
              </w:rPr>
              <w:t>TRƯỞNG BAN</w:t>
            </w:r>
          </w:p>
          <w:p w14:paraId="2E8EE4DD" w14:textId="4AEB6C91" w:rsidR="003B78CF" w:rsidRPr="00325736" w:rsidRDefault="007511C6" w:rsidP="001F1D06">
            <w:pPr>
              <w:ind w:right="-514"/>
              <w:jc w:val="center"/>
              <w:rPr>
                <w:b/>
                <w:sz w:val="26"/>
                <w:lang w:val="en-US"/>
              </w:rPr>
            </w:pPr>
            <w:r>
              <w:rPr>
                <w:b/>
                <w:sz w:val="26"/>
                <w:lang w:val="en-US"/>
              </w:rPr>
              <w:t>Đã ký</w:t>
            </w:r>
            <w:bookmarkStart w:id="0" w:name="_GoBack"/>
            <w:bookmarkEnd w:id="0"/>
          </w:p>
          <w:p w14:paraId="2E8EE4DE" w14:textId="77777777" w:rsidR="00852FDD" w:rsidRPr="00325736" w:rsidRDefault="007E06BC" w:rsidP="00AF0960">
            <w:pPr>
              <w:ind w:right="-514"/>
              <w:jc w:val="center"/>
              <w:rPr>
                <w:b/>
                <w:sz w:val="28"/>
              </w:rPr>
            </w:pPr>
            <w:r w:rsidRPr="00325736">
              <w:rPr>
                <w:b/>
                <w:sz w:val="28"/>
              </w:rPr>
              <w:t>Hồ Văn Đà</w:t>
            </w:r>
          </w:p>
        </w:tc>
      </w:tr>
    </w:tbl>
    <w:p w14:paraId="2E8EE4E0" w14:textId="42C04F4A" w:rsidR="00AC7788" w:rsidRDefault="00AC7788" w:rsidP="00596DE5">
      <w:pPr>
        <w:spacing w:after="60" w:line="288" w:lineRule="auto"/>
        <w:jc w:val="both"/>
        <w:rPr>
          <w:sz w:val="28"/>
          <w:lang w:val="en-US"/>
        </w:rPr>
      </w:pPr>
    </w:p>
    <w:p w14:paraId="5BA04CFB" w14:textId="77777777" w:rsidR="00222BF2" w:rsidRPr="00325736" w:rsidRDefault="00222BF2">
      <w:pPr>
        <w:spacing w:after="60" w:line="288" w:lineRule="auto"/>
        <w:jc w:val="both"/>
        <w:rPr>
          <w:sz w:val="28"/>
          <w:lang w:val="en-US"/>
        </w:rPr>
      </w:pPr>
    </w:p>
    <w:sectPr w:rsidR="00222BF2" w:rsidRPr="00325736" w:rsidSect="00E37953">
      <w:headerReference w:type="default" r:id="rId9"/>
      <w:pgSz w:w="11907" w:h="16840" w:code="9"/>
      <w:pgMar w:top="1134" w:right="992" w:bottom="1134" w:left="1701" w:header="720" w:footer="54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8E0E" w14:textId="77777777" w:rsidR="00E96DDE" w:rsidRDefault="00E96DDE" w:rsidP="0058551B">
      <w:r>
        <w:separator/>
      </w:r>
    </w:p>
  </w:endnote>
  <w:endnote w:type="continuationSeparator" w:id="0">
    <w:p w14:paraId="11689218" w14:textId="77777777" w:rsidR="00E96DDE" w:rsidRDefault="00E96DDE" w:rsidP="0058551B">
      <w:r>
        <w:continuationSeparator/>
      </w:r>
    </w:p>
  </w:endnote>
  <w:endnote w:type="continuationNotice" w:id="1">
    <w:p w14:paraId="2A60AC75" w14:textId="77777777" w:rsidR="00E96DDE" w:rsidRDefault="00E9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1D911" w14:textId="77777777" w:rsidR="00E96DDE" w:rsidRDefault="00E96DDE" w:rsidP="0058551B">
      <w:r>
        <w:separator/>
      </w:r>
    </w:p>
  </w:footnote>
  <w:footnote w:type="continuationSeparator" w:id="0">
    <w:p w14:paraId="014B578B" w14:textId="77777777" w:rsidR="00E96DDE" w:rsidRDefault="00E96DDE" w:rsidP="0058551B">
      <w:r>
        <w:continuationSeparator/>
      </w:r>
    </w:p>
  </w:footnote>
  <w:footnote w:type="continuationNotice" w:id="1">
    <w:p w14:paraId="7BE0C6BB" w14:textId="77777777" w:rsidR="00E96DDE" w:rsidRDefault="00E96DDE"/>
  </w:footnote>
  <w:footnote w:id="2">
    <w:p w14:paraId="077BB758" w14:textId="6BE9A0D6" w:rsidR="00871FEB" w:rsidRPr="008E610B" w:rsidRDefault="00871FEB" w:rsidP="00C45793">
      <w:pPr>
        <w:pStyle w:val="FootnoteText"/>
        <w:rPr>
          <w:iCs/>
          <w:color w:val="auto"/>
        </w:rPr>
      </w:pPr>
      <w:r w:rsidRPr="008E610B">
        <w:rPr>
          <w:rStyle w:val="FootnoteReference"/>
          <w:color w:val="auto"/>
        </w:rPr>
        <w:footnoteRef/>
      </w:r>
      <w:r w:rsidRPr="008E610B">
        <w:rPr>
          <w:color w:val="auto"/>
        </w:rPr>
        <w:t xml:space="preserve"> </w:t>
      </w:r>
      <w:r w:rsidRPr="008E610B">
        <w:rPr>
          <w:iCs/>
          <w:color w:val="auto"/>
        </w:rPr>
        <w:t>Ư</w:t>
      </w:r>
      <w:r w:rsidRPr="008E610B">
        <w:rPr>
          <w:iCs/>
          <w:color w:val="auto"/>
          <w:lang w:val="am-ET"/>
        </w:rPr>
        <w:t xml:space="preserve">ớc thực hiện </w:t>
      </w:r>
      <w:r w:rsidRPr="008E610B">
        <w:rPr>
          <w:iCs/>
          <w:color w:val="auto"/>
          <w:lang w:val="nl-NL"/>
        </w:rPr>
        <w:t>thu năm 2021</w:t>
      </w:r>
      <w:r w:rsidRPr="008E610B">
        <w:rPr>
          <w:iCs/>
          <w:color w:val="auto"/>
          <w:lang w:val="am-ET"/>
        </w:rPr>
        <w:t xml:space="preserve"> </w:t>
      </w:r>
      <w:r w:rsidRPr="008E610B">
        <w:rPr>
          <w:iCs/>
          <w:color w:val="auto"/>
          <w:lang w:val="nl-NL"/>
        </w:rPr>
        <w:t xml:space="preserve">sau khi loại trừ số hoàn thuế giá trị gia tăng hoạt động xuất nhập khẩu còn 2.900.000 </w:t>
      </w:r>
      <w:r w:rsidRPr="008E610B">
        <w:rPr>
          <w:iCs/>
          <w:color w:val="auto"/>
          <w:lang w:val="am-ET"/>
        </w:rPr>
        <w:t>triệu đồng</w:t>
      </w:r>
      <w:r w:rsidRPr="008E610B">
        <w:rPr>
          <w:iCs/>
          <w:color w:val="auto"/>
        </w:rPr>
        <w:t>,</w:t>
      </w:r>
      <w:r w:rsidRPr="008E610B">
        <w:rPr>
          <w:iCs/>
          <w:color w:val="auto"/>
          <w:lang w:val="am-ET"/>
        </w:rPr>
        <w:t xml:space="preserve"> đạt </w:t>
      </w:r>
      <w:r w:rsidRPr="008E610B">
        <w:rPr>
          <w:iCs/>
          <w:color w:val="auto"/>
        </w:rPr>
        <w:t>82,9%</w:t>
      </w:r>
      <w:r w:rsidRPr="008E610B">
        <w:rPr>
          <w:iCs/>
          <w:color w:val="auto"/>
          <w:lang w:val="am-ET"/>
        </w:rPr>
        <w:t xml:space="preserve"> dự toán và bằng </w:t>
      </w:r>
      <w:r w:rsidRPr="008E610B">
        <w:rPr>
          <w:iCs/>
          <w:color w:val="auto"/>
        </w:rPr>
        <w:t>119,3</w:t>
      </w:r>
      <w:r w:rsidRPr="008E610B">
        <w:rPr>
          <w:iCs/>
          <w:color w:val="auto"/>
          <w:lang w:val="am-ET"/>
        </w:rPr>
        <w:t>% so với cùng kỳ</w:t>
      </w:r>
      <w:r w:rsidRPr="008E610B">
        <w:rPr>
          <w:iCs/>
          <w:color w:val="auto"/>
          <w:lang w:val="vi-VN"/>
        </w:rPr>
        <w:t xml:space="preserve"> năm </w:t>
      </w:r>
      <w:r w:rsidRPr="008E610B">
        <w:rPr>
          <w:iCs/>
          <w:color w:val="auto"/>
          <w:lang w:val="nl-NL"/>
        </w:rPr>
        <w:t>trước.</w:t>
      </w:r>
    </w:p>
  </w:footnote>
  <w:footnote w:id="3">
    <w:p w14:paraId="32AB2CE4" w14:textId="5A3897C0" w:rsidR="000D22CB" w:rsidRPr="008E610B" w:rsidRDefault="000D22CB" w:rsidP="00C45793">
      <w:pPr>
        <w:pStyle w:val="FootnoteText"/>
        <w:rPr>
          <w:color w:val="auto"/>
        </w:rPr>
      </w:pPr>
      <w:r w:rsidRPr="008E610B">
        <w:rPr>
          <w:rStyle w:val="FootnoteReference"/>
          <w:color w:val="auto"/>
        </w:rPr>
        <w:footnoteRef/>
      </w:r>
      <w:r w:rsidRPr="008E610B">
        <w:rPr>
          <w:color w:val="auto"/>
        </w:rPr>
        <w:t xml:space="preserve"> Như: </w:t>
      </w:r>
      <w:r w:rsidR="00984091" w:rsidRPr="008E610B">
        <w:rPr>
          <w:i/>
          <w:color w:val="auto"/>
        </w:rPr>
        <w:t>Thu từ khu vực doanh nghiệp Nhà nước địa phương</w:t>
      </w:r>
      <w:r w:rsidR="00984091" w:rsidRPr="008E610B">
        <w:rPr>
          <w:i/>
          <w:color w:val="auto"/>
          <w:lang w:val="vi-VN"/>
        </w:rPr>
        <w:t xml:space="preserve">: </w:t>
      </w:r>
      <w:r w:rsidR="00984091" w:rsidRPr="008E610B">
        <w:rPr>
          <w:color w:val="auto"/>
        </w:rPr>
        <w:t xml:space="preserve">thực hiện </w:t>
      </w:r>
      <w:r w:rsidR="00984091" w:rsidRPr="008E610B">
        <w:rPr>
          <w:color w:val="auto"/>
          <w:lang w:val="vi-VN"/>
        </w:rPr>
        <w:t>34.465 triệu đồng, đạt 114,9% dự toán;</w:t>
      </w:r>
      <w:r w:rsidR="00984091" w:rsidRPr="008E610B">
        <w:rPr>
          <w:i/>
          <w:color w:val="auto"/>
          <w:lang w:val="vi-VN"/>
        </w:rPr>
        <w:t xml:space="preserve"> </w:t>
      </w:r>
      <w:r w:rsidRPr="008E610B">
        <w:rPr>
          <w:i/>
          <w:color w:val="auto"/>
          <w:lang w:val="am-ET"/>
        </w:rPr>
        <w:t>Thu từ</w:t>
      </w:r>
      <w:r w:rsidRPr="008E610B">
        <w:rPr>
          <w:iCs/>
          <w:color w:val="auto"/>
          <w:lang w:val="am-ET"/>
        </w:rPr>
        <w:t xml:space="preserve"> </w:t>
      </w:r>
      <w:r w:rsidRPr="008E610B">
        <w:rPr>
          <w:i/>
          <w:color w:val="auto"/>
        </w:rPr>
        <w:t>khu vực thuế công thương nghiệp ngoài quốc doanh</w:t>
      </w:r>
      <w:r w:rsidRPr="008E610B">
        <w:rPr>
          <w:color w:val="auto"/>
        </w:rPr>
        <w:t xml:space="preserve">: thực hiện </w:t>
      </w:r>
      <w:r w:rsidR="00984091" w:rsidRPr="008E610B">
        <w:rPr>
          <w:color w:val="auto"/>
        </w:rPr>
        <w:t>738.649 triệu đồng, đạt 110,2% dự toán</w:t>
      </w:r>
      <w:r w:rsidRPr="008E610B">
        <w:rPr>
          <w:color w:val="auto"/>
        </w:rPr>
        <w:t xml:space="preserve">; </w:t>
      </w:r>
      <w:r w:rsidRPr="008E610B">
        <w:rPr>
          <w:i/>
          <w:iCs/>
          <w:color w:val="auto"/>
        </w:rPr>
        <w:t>Thuế thu nhập cá nhân</w:t>
      </w:r>
      <w:r w:rsidRPr="008E610B">
        <w:rPr>
          <w:color w:val="auto"/>
        </w:rPr>
        <w:t xml:space="preserve">: thực hiện </w:t>
      </w:r>
      <w:r w:rsidR="00984091" w:rsidRPr="008E610B">
        <w:rPr>
          <w:color w:val="auto"/>
        </w:rPr>
        <w:t>98.078 triệu đồng, đạt 112,7% dự toán</w:t>
      </w:r>
      <w:r w:rsidRPr="008E610B">
        <w:rPr>
          <w:color w:val="auto"/>
        </w:rPr>
        <w:t xml:space="preserve">; </w:t>
      </w:r>
      <w:r w:rsidRPr="008E610B">
        <w:rPr>
          <w:i/>
          <w:iCs/>
          <w:color w:val="auto"/>
        </w:rPr>
        <w:t xml:space="preserve">Thu </w:t>
      </w:r>
      <w:r w:rsidR="00984091" w:rsidRPr="008E610B">
        <w:rPr>
          <w:i/>
          <w:iCs/>
          <w:color w:val="auto"/>
          <w:lang w:val="vi-VN"/>
        </w:rPr>
        <w:t>thuế bảo vệ môi trường</w:t>
      </w:r>
      <w:r w:rsidRPr="008E610B">
        <w:rPr>
          <w:color w:val="auto"/>
        </w:rPr>
        <w:t xml:space="preserve">: thực hiện </w:t>
      </w:r>
      <w:r w:rsidR="00984091" w:rsidRPr="008E610B">
        <w:rPr>
          <w:color w:val="auto"/>
        </w:rPr>
        <w:t>231.979 triệu đồng, đạt 91,0% dự toán</w:t>
      </w:r>
      <w:r w:rsidRPr="008E610B">
        <w:rPr>
          <w:color w:val="auto"/>
        </w:rPr>
        <w:t xml:space="preserve">; </w:t>
      </w:r>
      <w:r w:rsidR="00984091" w:rsidRPr="008E610B">
        <w:rPr>
          <w:i/>
          <w:iCs/>
          <w:color w:val="auto"/>
        </w:rPr>
        <w:t>Khu vực kinh tế ngoài quốc doanh</w:t>
      </w:r>
      <w:r w:rsidRPr="008E610B">
        <w:rPr>
          <w:i/>
          <w:iCs/>
          <w:color w:val="auto"/>
        </w:rPr>
        <w:t>:</w:t>
      </w:r>
      <w:r w:rsidRPr="008E610B">
        <w:rPr>
          <w:color w:val="auto"/>
        </w:rPr>
        <w:t xml:space="preserve"> thực hiện </w:t>
      </w:r>
      <w:r w:rsidR="00984091" w:rsidRPr="008E610B">
        <w:rPr>
          <w:color w:val="auto"/>
        </w:rPr>
        <w:t>738.649 triệu đồng, đạt 110,2% dự toán</w:t>
      </w:r>
      <w:r w:rsidRPr="008E610B">
        <w:rPr>
          <w:color w:val="auto"/>
        </w:rPr>
        <w:t xml:space="preserve">; </w:t>
      </w:r>
      <w:r w:rsidRPr="008E610B">
        <w:rPr>
          <w:i/>
          <w:iCs/>
          <w:color w:val="auto"/>
        </w:rPr>
        <w:t>Thu từ hoạt động xổ số kiến thiết</w:t>
      </w:r>
      <w:r w:rsidRPr="008E610B">
        <w:rPr>
          <w:color w:val="auto"/>
        </w:rPr>
        <w:t xml:space="preserve">: thực hiện </w:t>
      </w:r>
      <w:r w:rsidR="00984091" w:rsidRPr="008E610B">
        <w:rPr>
          <w:color w:val="auto"/>
        </w:rPr>
        <w:t>90.444 triệu đồng, đạt 100,5% dự toán</w:t>
      </w:r>
      <w:r w:rsidRPr="008E610B">
        <w:rPr>
          <w:color w:val="auto"/>
        </w:rPr>
        <w:t>.</w:t>
      </w:r>
    </w:p>
  </w:footnote>
  <w:footnote w:id="4">
    <w:p w14:paraId="21D989C1" w14:textId="68635DC8" w:rsidR="00984091" w:rsidRPr="008E610B" w:rsidRDefault="00984091" w:rsidP="00C45793">
      <w:pPr>
        <w:pStyle w:val="FootnoteText"/>
        <w:rPr>
          <w:color w:val="auto"/>
          <w:lang w:val="vi-VN"/>
        </w:rPr>
      </w:pPr>
      <w:r w:rsidRPr="008E610B">
        <w:rPr>
          <w:rStyle w:val="FootnoteReference"/>
          <w:color w:val="auto"/>
        </w:rPr>
        <w:footnoteRef/>
      </w:r>
      <w:r w:rsidRPr="008E610B">
        <w:rPr>
          <w:color w:val="auto"/>
        </w:rPr>
        <w:t xml:space="preserve"> Bao gồm số thu từ các dự án khai thác quỹ đất địa phương giao tăng thu so với dự toán Trung ương</w:t>
      </w:r>
    </w:p>
  </w:footnote>
  <w:footnote w:id="5">
    <w:p w14:paraId="54109B03" w14:textId="115F537B" w:rsidR="00EB2045" w:rsidRPr="008E610B" w:rsidRDefault="00EB2045" w:rsidP="00C45793">
      <w:pPr>
        <w:pStyle w:val="FootnoteText"/>
        <w:rPr>
          <w:color w:val="auto"/>
          <w:lang w:val="vi-VN"/>
        </w:rPr>
      </w:pPr>
      <w:r w:rsidRPr="008E610B">
        <w:rPr>
          <w:rStyle w:val="FootnoteReference"/>
          <w:color w:val="auto"/>
        </w:rPr>
        <w:footnoteRef/>
      </w:r>
      <w:r w:rsidRPr="007511C6">
        <w:rPr>
          <w:color w:val="auto"/>
          <w:lang w:val="vi-VN"/>
        </w:rPr>
        <w:t xml:space="preserve"> </w:t>
      </w:r>
      <w:r w:rsidRPr="007511C6">
        <w:rPr>
          <w:color w:val="auto"/>
          <w:lang w:val="vi-VN"/>
        </w:rPr>
        <w:t>Ngày 31</w:t>
      </w:r>
      <w:r w:rsidRPr="008E610B">
        <w:rPr>
          <w:color w:val="auto"/>
          <w:lang w:val="vi-VN"/>
        </w:rPr>
        <w:t>/</w:t>
      </w:r>
      <w:r w:rsidRPr="007511C6">
        <w:rPr>
          <w:color w:val="auto"/>
          <w:lang w:val="vi-VN"/>
        </w:rPr>
        <w:t>12</w:t>
      </w:r>
      <w:r w:rsidRPr="008E610B">
        <w:rPr>
          <w:color w:val="auto"/>
          <w:lang w:val="vi-VN"/>
        </w:rPr>
        <w:t>/</w:t>
      </w:r>
      <w:r w:rsidRPr="007511C6">
        <w:rPr>
          <w:color w:val="auto"/>
          <w:lang w:val="vi-VN"/>
        </w:rPr>
        <w:t>2020, tổng số tiền thuế, phí, tiền phạt và tiền chậm nộp mà người nộp thuế còn nợ là 299.718 triệu đồng</w:t>
      </w:r>
      <w:r w:rsidRPr="008E610B">
        <w:rPr>
          <w:color w:val="auto"/>
          <w:lang w:val="vi-VN"/>
        </w:rPr>
        <w:t>.</w:t>
      </w:r>
    </w:p>
  </w:footnote>
  <w:footnote w:id="6">
    <w:p w14:paraId="663118D5" w14:textId="1BFCB508" w:rsidR="00662E78" w:rsidRPr="008E610B" w:rsidRDefault="00662E78" w:rsidP="00C45793">
      <w:pPr>
        <w:pStyle w:val="FootnoteText"/>
        <w:rPr>
          <w:color w:val="auto"/>
          <w:lang w:val="vi-VN"/>
        </w:rPr>
      </w:pPr>
      <w:r w:rsidRPr="008E610B">
        <w:rPr>
          <w:rStyle w:val="FootnoteReference"/>
          <w:color w:val="auto"/>
        </w:rPr>
        <w:footnoteRef/>
      </w:r>
      <w:r w:rsidRPr="007511C6">
        <w:rPr>
          <w:color w:val="auto"/>
          <w:lang w:val="vi-VN"/>
        </w:rPr>
        <w:t xml:space="preserve"> </w:t>
      </w:r>
      <w:r w:rsidRPr="007511C6">
        <w:rPr>
          <w:color w:val="auto"/>
          <w:lang w:val="vi-VN"/>
        </w:rPr>
        <w:t>như: thu tiền sử dụng đất các dự án khai thác quỹ đất địa phương giao tăng thu so dự toán Trung ương dự kiến chỉ bằng 70,7% dự toán, thu từ doanh nghiệp nhà nước trung ương bằng 92% dự toán</w:t>
      </w:r>
      <w:r w:rsidRPr="008E610B">
        <w:rPr>
          <w:color w:val="auto"/>
          <w:lang w:val="vi-VN"/>
        </w:rPr>
        <w:t>.</w:t>
      </w:r>
    </w:p>
  </w:footnote>
  <w:footnote w:id="7">
    <w:p w14:paraId="18FD0A96" w14:textId="610DE582" w:rsidR="00662E78" w:rsidRPr="008E610B" w:rsidRDefault="00662E78" w:rsidP="00C45793">
      <w:pPr>
        <w:pStyle w:val="FootnoteText"/>
        <w:rPr>
          <w:color w:val="auto"/>
          <w:lang w:val="vi-VN"/>
        </w:rPr>
      </w:pPr>
      <w:r w:rsidRPr="008E610B">
        <w:rPr>
          <w:rStyle w:val="FootnoteReference"/>
          <w:color w:val="auto"/>
        </w:rPr>
        <w:footnoteRef/>
      </w:r>
      <w:r w:rsidRPr="007511C6">
        <w:rPr>
          <w:color w:val="auto"/>
          <w:lang w:val="vi-VN"/>
        </w:rPr>
        <w:t xml:space="preserve"> </w:t>
      </w:r>
      <w:r w:rsidRPr="007511C6">
        <w:rPr>
          <w:color w:val="auto"/>
          <w:lang w:val="vi-VN"/>
        </w:rPr>
        <w:t>Do ảnh hưởng của dịch bệnh Covid-19 đang diễn biến phức tạp dẫn đến thị trường đất đai có xu hướng chậm lại, công tác chuẩn bị hồ sơ thủ tục, bồi thường giải phóng mặt bằng một số dự án có quy mô lớn đã được Hội đồng nhân dân tỉnh giao dự toán tăng thu đầu năm 2021 đang triển khai và đưa ra đấu giá vào các tháng cuối năm 2021; thu từ các Nhà máy thủy điện phụ thuộc rất lớn vào diễn biến tình hình thời tiết và giá điện biến động giảm dẫn đến tổng số thu ngân sách ở các lĩnh vực này ước thực hiện chưa đạt dự toán</w:t>
      </w:r>
      <w:r w:rsidRPr="008E610B">
        <w:rPr>
          <w:color w:val="auto"/>
          <w:lang w:val="vi-VN"/>
        </w:rPr>
        <w:t>.</w:t>
      </w:r>
    </w:p>
  </w:footnote>
  <w:footnote w:id="8">
    <w:p w14:paraId="3DE15BF3" w14:textId="179B979A" w:rsidR="00E37953" w:rsidRPr="008E610B" w:rsidRDefault="00E37953" w:rsidP="00C45793">
      <w:pPr>
        <w:pStyle w:val="FootnoteText"/>
        <w:rPr>
          <w:color w:val="auto"/>
          <w:lang w:val="vi-VN"/>
        </w:rPr>
      </w:pPr>
      <w:r w:rsidRPr="008E610B">
        <w:rPr>
          <w:rStyle w:val="FootnoteReference"/>
          <w:color w:val="auto"/>
        </w:rPr>
        <w:footnoteRef/>
      </w:r>
      <w:r w:rsidRPr="007511C6">
        <w:rPr>
          <w:color w:val="auto"/>
          <w:lang w:val="vi-VN"/>
        </w:rPr>
        <w:t xml:space="preserve"> </w:t>
      </w:r>
      <w:r w:rsidRPr="007511C6">
        <w:rPr>
          <w:color w:val="auto"/>
          <w:lang w:val="vi-VN"/>
        </w:rPr>
        <w:t>trong đó: Chi thường xuyên cân đối ngân sách 4.556.007 triệu đồng, đạt 95,9% nhiệm vụ chi (trong đó: sự nghiệp giáo dục và đào tạo đạt 96,4%, sự nghiệp khoa học công nghệ đạt 90,0%, sự nghiệp môi trường đạt 99,0%...)</w:t>
      </w:r>
      <w:r w:rsidRPr="008E610B">
        <w:rPr>
          <w:color w:val="auto"/>
          <w:lang w:val="vi-VN"/>
        </w:rPr>
        <w:t>.</w:t>
      </w:r>
    </w:p>
  </w:footnote>
  <w:footnote w:id="9">
    <w:p w14:paraId="37915342" w14:textId="77777777" w:rsidR="00B21F68" w:rsidRPr="007511C6" w:rsidRDefault="00B21F68" w:rsidP="00C45793">
      <w:pPr>
        <w:pStyle w:val="FootnoteText"/>
        <w:rPr>
          <w:color w:val="auto"/>
          <w:lang w:val="vi-VN"/>
        </w:rPr>
      </w:pPr>
      <w:r w:rsidRPr="008E610B">
        <w:rPr>
          <w:rStyle w:val="FootnoteReference"/>
          <w:color w:val="auto"/>
        </w:rPr>
        <w:footnoteRef/>
      </w:r>
      <w:r w:rsidRPr="007511C6">
        <w:rPr>
          <w:color w:val="auto"/>
          <w:lang w:val="vi-VN"/>
        </w:rPr>
        <w:t xml:space="preserve"> Sở Văn hóa, thể thao và Du lịch; Sở Lao động - Thương binh và xã hội; Sở Nội vụ; Sở Nông nghiệp và Phát triển nông thôn.</w:t>
      </w:r>
    </w:p>
  </w:footnote>
  <w:footnote w:id="10">
    <w:p w14:paraId="3C171AB0" w14:textId="7B1EDD6B" w:rsidR="008477DD" w:rsidRPr="007511C6" w:rsidRDefault="008477DD" w:rsidP="00C45793">
      <w:pPr>
        <w:pStyle w:val="FootnoteText"/>
        <w:rPr>
          <w:color w:val="auto"/>
          <w:lang w:val="vi-VN"/>
        </w:rPr>
      </w:pPr>
      <w:r w:rsidRPr="008E610B">
        <w:rPr>
          <w:rStyle w:val="FootnoteReference"/>
          <w:color w:val="auto"/>
        </w:rPr>
        <w:footnoteRef/>
      </w:r>
      <w:r w:rsidRPr="007511C6">
        <w:rPr>
          <w:color w:val="auto"/>
          <w:lang w:val="vi-VN"/>
        </w:rPr>
        <w:t xml:space="preserve"> N</w:t>
      </w:r>
      <w:r w:rsidRPr="008E610B">
        <w:rPr>
          <w:color w:val="auto"/>
          <w:lang w:val="sv-SE"/>
        </w:rPr>
        <w:t>ếu loại trừ thu tiền sử dụng đất đất, xổ số kiến thiết, thu viện trợ</w:t>
      </w:r>
      <w:r w:rsidRPr="007511C6">
        <w:rPr>
          <w:color w:val="auto"/>
          <w:lang w:val="vi-VN"/>
        </w:rPr>
        <w:t xml:space="preserve"> , dự toán năm 2021 còn lại 2.264,6 tỷ đồng, dự toán năm 2022 còn lại 2.492 tỷ đồng </w:t>
      </w:r>
      <w:r w:rsidRPr="007511C6">
        <w:rPr>
          <w:b/>
          <w:bCs/>
          <w:color w:val="auto"/>
          <w:lang w:val="vi-VN"/>
        </w:rPr>
        <w:t>tăng 10% so dự toán năm 2021</w:t>
      </w:r>
      <w:r w:rsidRPr="007511C6">
        <w:rPr>
          <w:color w:val="auto"/>
          <w:vertAlign w:val="superscript"/>
          <w:lang w:val="vi-VN"/>
        </w:rPr>
        <w:t xml:space="preserve"> </w:t>
      </w:r>
    </w:p>
  </w:footnote>
  <w:footnote w:id="11">
    <w:p w14:paraId="5D67B3B8" w14:textId="17D59D00" w:rsidR="008477DD" w:rsidRPr="007511C6" w:rsidRDefault="008477DD" w:rsidP="00C45793">
      <w:pPr>
        <w:pStyle w:val="FootnoteText"/>
        <w:rPr>
          <w:color w:val="auto"/>
          <w:lang w:val="vi-VN"/>
        </w:rPr>
      </w:pPr>
      <w:r w:rsidRPr="008E610B">
        <w:rPr>
          <w:rStyle w:val="FootnoteReference"/>
          <w:color w:val="auto"/>
        </w:rPr>
        <w:footnoteRef/>
      </w:r>
      <w:r w:rsidRPr="007511C6">
        <w:rPr>
          <w:color w:val="auto"/>
          <w:lang w:val="vi-VN"/>
        </w:rPr>
        <w:t xml:space="preserve"> Ngoài dự toán Trung ương giao, trong điều kiện ngân sách còn khó khăn, để có nguồn đầu tư cơ sở hạ tầng, chỉnh trang đô thị, phát triển KT-XH, địa phương phấn đấu tăng thu từ các dự án khai thác quỹ đất và ghi thu tiền đền bù giải phóng mặt bằng các dự án nhà đầu tư tự nguyện ứng trước </w:t>
      </w:r>
      <w:r w:rsidRPr="007511C6">
        <w:rPr>
          <w:i/>
          <w:color w:val="auto"/>
          <w:lang w:val="vi-VN"/>
        </w:rPr>
        <w:t>(theo Thông tư số 88/2019/TT-BTC ngày 24/12/2019 của Bộ Tài chính và văn bản số 11282/BTC-NSNN ngày 25 tháng 9 năm 2019 của Bộ Tài chính)</w:t>
      </w:r>
      <w:r w:rsidRPr="007511C6">
        <w:rPr>
          <w:color w:val="auto"/>
          <w:lang w:val="vi-VN"/>
        </w:rPr>
        <w:t xml:space="preserve"> so với dự toán trung ương giao 813.000 triệu đồng </w:t>
      </w:r>
      <w:r w:rsidRPr="007511C6">
        <w:rPr>
          <w:i/>
          <w:color w:val="auto"/>
          <w:lang w:val="vi-VN"/>
        </w:rPr>
        <w:t>(phân bổ chi đầu tư các dự án, nhiệm vụ theo tiến độ nguồn thu thực tế);</w:t>
      </w:r>
      <w:r w:rsidRPr="007511C6">
        <w:rPr>
          <w:color w:val="auto"/>
          <w:lang w:val="vi-VN"/>
        </w:rPr>
        <w:t xml:space="preserve"> </w:t>
      </w:r>
    </w:p>
  </w:footnote>
  <w:footnote w:id="12">
    <w:p w14:paraId="0FB3703B" w14:textId="2F8B60A9" w:rsidR="007D5AF7" w:rsidRPr="008E610B" w:rsidRDefault="007D5AF7" w:rsidP="00C45793">
      <w:pPr>
        <w:pStyle w:val="FootnoteText"/>
        <w:rPr>
          <w:color w:val="auto"/>
          <w:lang w:val="vi-VN"/>
        </w:rPr>
      </w:pPr>
      <w:r w:rsidRPr="008E610B">
        <w:rPr>
          <w:rStyle w:val="FootnoteReference"/>
          <w:color w:val="auto"/>
        </w:rPr>
        <w:footnoteRef/>
      </w:r>
      <w:r w:rsidRPr="007511C6">
        <w:rPr>
          <w:color w:val="auto"/>
          <w:lang w:val="vi-VN"/>
        </w:rPr>
        <w:t xml:space="preserve"> </w:t>
      </w:r>
      <w:r w:rsidRPr="008E610B">
        <w:rPr>
          <w:color w:val="auto"/>
          <w:lang w:val="vi-VN"/>
        </w:rPr>
        <w:t>- Dự toán chi cân đối ngân sách địa phương 6.701.917 triệu đồng, tăng chi 813.000 triệu đồng so dự toán Trung ương giao. Chi đầu tư từ nguồn bội chi ngân sách địa phương 48.400 triệu đồng.</w:t>
      </w:r>
    </w:p>
  </w:footnote>
  <w:footnote w:id="13">
    <w:p w14:paraId="61720ACA" w14:textId="77777777" w:rsidR="006D7F52" w:rsidRPr="007511C6" w:rsidRDefault="006D7F52" w:rsidP="00C45793">
      <w:pPr>
        <w:pStyle w:val="FootnoteText"/>
        <w:rPr>
          <w:color w:val="auto"/>
          <w:lang w:val="vi-VN"/>
        </w:rPr>
      </w:pPr>
      <w:r w:rsidRPr="008E610B">
        <w:rPr>
          <w:rStyle w:val="FootnoteReference"/>
          <w:color w:val="auto"/>
        </w:rPr>
        <w:footnoteRef/>
      </w:r>
      <w:r w:rsidRPr="007511C6">
        <w:rPr>
          <w:color w:val="auto"/>
          <w:lang w:val="vi-VN"/>
        </w:rPr>
        <w:t xml:space="preserve"> Qua Báo cáo kết quả kiểm toán NSNN năm 2020 và qua khảo sát tình hình thực hiện Nghị quyết 67, 68/2016/NQ-HĐND Tỉnh, nhận thấy có một số huyện đã giữ lại một phần kinh phí chi thường xuyên, chi khác... để chi sửa chữa cơ sở vật chất, mua sắm tập trung, thực hiện nhiệm vụ chung ngành giáo dục,...không thực hiện giao đủ, đúng định mức mà HĐND Tỉnh đã giao.</w:t>
      </w:r>
    </w:p>
  </w:footnote>
  <w:footnote w:id="14">
    <w:p w14:paraId="0347F51A" w14:textId="10D59F0B" w:rsidR="008E66AE" w:rsidRPr="007511C6" w:rsidRDefault="008E66AE">
      <w:pPr>
        <w:pStyle w:val="FootnoteText"/>
        <w:rPr>
          <w:color w:val="auto"/>
          <w:lang w:val="vi-VN"/>
        </w:rPr>
      </w:pPr>
      <w:r w:rsidRPr="008E610B">
        <w:rPr>
          <w:rStyle w:val="FootnoteReference"/>
          <w:color w:val="auto"/>
        </w:rPr>
        <w:footnoteRef/>
      </w:r>
      <w:r w:rsidRPr="007511C6">
        <w:rPr>
          <w:color w:val="auto"/>
          <w:lang w:val="vi-VN"/>
        </w:rPr>
        <w:t xml:space="preserve"> Trong đó, dự toán tăng thu từ các dự án khai thác quỹ đất so với dự toán Trung ương giao 813.000 triệu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998098482"/>
      <w:docPartObj>
        <w:docPartGallery w:val="Page Numbers (Top of Page)"/>
        <w:docPartUnique/>
      </w:docPartObj>
    </w:sdtPr>
    <w:sdtEndPr>
      <w:rPr>
        <w:noProof/>
      </w:rPr>
    </w:sdtEndPr>
    <w:sdtContent>
      <w:p w14:paraId="79377836" w14:textId="3BE0778D" w:rsidR="00E37953" w:rsidRDefault="00E37953">
        <w:pPr>
          <w:pStyle w:val="Header"/>
          <w:jc w:val="center"/>
        </w:pPr>
        <w:r>
          <w:rPr>
            <w:noProof w:val="0"/>
          </w:rPr>
          <w:fldChar w:fldCharType="begin"/>
        </w:r>
        <w:r>
          <w:instrText xml:space="preserve"> PAGE   \* MERGEFORMAT </w:instrText>
        </w:r>
        <w:r>
          <w:rPr>
            <w:noProof w:val="0"/>
          </w:rPr>
          <w:fldChar w:fldCharType="separate"/>
        </w:r>
        <w:r w:rsidR="007511C6">
          <w:t>2</w:t>
        </w:r>
        <w:r>
          <w:fldChar w:fldCharType="end"/>
        </w:r>
      </w:p>
    </w:sdtContent>
  </w:sdt>
  <w:p w14:paraId="65CD9491" w14:textId="77777777" w:rsidR="00E37953" w:rsidRDefault="00E3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6E510C9"/>
    <w:multiLevelType w:val="hybridMultilevel"/>
    <w:tmpl w:val="5E100932"/>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7F3560"/>
    <w:multiLevelType w:val="hybridMultilevel"/>
    <w:tmpl w:val="22463B02"/>
    <w:lvl w:ilvl="0" w:tplc="A8D0A7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3DB38A8"/>
    <w:multiLevelType w:val="multilevel"/>
    <w:tmpl w:val="F4DC65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7">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20">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DE5CB9"/>
    <w:multiLevelType w:val="hybridMultilevel"/>
    <w:tmpl w:val="564C23CC"/>
    <w:lvl w:ilvl="0" w:tplc="DEE81C42">
      <w:start w:val="1"/>
      <w:numFmt w:val="decimal"/>
      <w:lvlText w:val="%1."/>
      <w:lvlJc w:val="left"/>
      <w:pPr>
        <w:ind w:left="1084" w:hanging="36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23">
    <w:nsid w:val="7C4127B4"/>
    <w:multiLevelType w:val="hybridMultilevel"/>
    <w:tmpl w:val="0FCA0CCA"/>
    <w:lvl w:ilvl="0" w:tplc="C3204D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400A94"/>
    <w:multiLevelType w:val="hybridMultilevel"/>
    <w:tmpl w:val="E9BC5D4A"/>
    <w:lvl w:ilvl="0" w:tplc="917A5D9C">
      <w:start w:val="1"/>
      <w:numFmt w:val="upperRoman"/>
      <w:lvlText w:val="%1."/>
      <w:lvlJc w:val="left"/>
      <w:pPr>
        <w:ind w:left="928" w:hanging="360"/>
      </w:pPr>
      <w:rPr>
        <w:rFonts w:hint="default"/>
      </w:rPr>
    </w:lvl>
    <w:lvl w:ilvl="1" w:tplc="75F82A26">
      <w:start w:val="1"/>
      <w:numFmt w:val="bullet"/>
      <w:lvlText w:val=""/>
      <w:lvlJc w:val="left"/>
      <w:pPr>
        <w:ind w:left="1648" w:hanging="360"/>
      </w:pPr>
      <w:rPr>
        <w:rFonts w:ascii="Symbol" w:eastAsia="Times New Roman" w:hAnsi="Symbol" w:cs="Times New Roman" w:hint="default"/>
        <w:b/>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num w:numId="1">
    <w:abstractNumId w:val="7"/>
  </w:num>
  <w:num w:numId="2">
    <w:abstractNumId w:val="19"/>
  </w:num>
  <w:num w:numId="3">
    <w:abstractNumId w:val="19"/>
  </w:num>
  <w:num w:numId="4">
    <w:abstractNumId w:val="7"/>
  </w:num>
  <w:num w:numId="5">
    <w:abstractNumId w:val="19"/>
  </w:num>
  <w:num w:numId="6">
    <w:abstractNumId w:val="2"/>
  </w:num>
  <w:num w:numId="7">
    <w:abstractNumId w:val="20"/>
  </w:num>
  <w:num w:numId="8">
    <w:abstractNumId w:val="1"/>
  </w:num>
  <w:num w:numId="9">
    <w:abstractNumId w:val="9"/>
  </w:num>
  <w:num w:numId="10">
    <w:abstractNumId w:val="11"/>
  </w:num>
  <w:num w:numId="11">
    <w:abstractNumId w:val="14"/>
  </w:num>
  <w:num w:numId="12">
    <w:abstractNumId w:val="5"/>
  </w:num>
  <w:num w:numId="13">
    <w:abstractNumId w:val="16"/>
  </w:num>
  <w:num w:numId="14">
    <w:abstractNumId w:val="4"/>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0"/>
  </w:num>
  <w:num w:numId="20">
    <w:abstractNumId w:val="8"/>
  </w:num>
  <w:num w:numId="21">
    <w:abstractNumId w:val="18"/>
  </w:num>
  <w:num w:numId="22">
    <w:abstractNumId w:val="21"/>
  </w:num>
  <w:num w:numId="23">
    <w:abstractNumId w:val="24"/>
  </w:num>
  <w:num w:numId="24">
    <w:abstractNumId w:val="22"/>
  </w:num>
  <w:num w:numId="25">
    <w:abstractNumId w:val="3"/>
  </w:num>
  <w:num w:numId="26">
    <w:abstractNumId w:val="13"/>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00F"/>
    <w:rsid w:val="00000B34"/>
    <w:rsid w:val="00002435"/>
    <w:rsid w:val="00006752"/>
    <w:rsid w:val="00007AF2"/>
    <w:rsid w:val="00012818"/>
    <w:rsid w:val="00012A37"/>
    <w:rsid w:val="00016CCF"/>
    <w:rsid w:val="00021855"/>
    <w:rsid w:val="0002215F"/>
    <w:rsid w:val="00022184"/>
    <w:rsid w:val="00024758"/>
    <w:rsid w:val="00024771"/>
    <w:rsid w:val="00024F90"/>
    <w:rsid w:val="000252F9"/>
    <w:rsid w:val="00026439"/>
    <w:rsid w:val="0003059F"/>
    <w:rsid w:val="00030729"/>
    <w:rsid w:val="00032EC1"/>
    <w:rsid w:val="0003306F"/>
    <w:rsid w:val="000364D9"/>
    <w:rsid w:val="00037F23"/>
    <w:rsid w:val="000403F1"/>
    <w:rsid w:val="00041BE5"/>
    <w:rsid w:val="00041DC3"/>
    <w:rsid w:val="00042955"/>
    <w:rsid w:val="00043753"/>
    <w:rsid w:val="00044DF7"/>
    <w:rsid w:val="00045B58"/>
    <w:rsid w:val="0004655C"/>
    <w:rsid w:val="00047E17"/>
    <w:rsid w:val="000504CD"/>
    <w:rsid w:val="000523CF"/>
    <w:rsid w:val="00052E2B"/>
    <w:rsid w:val="00053D84"/>
    <w:rsid w:val="00053DEA"/>
    <w:rsid w:val="000562EA"/>
    <w:rsid w:val="000563D2"/>
    <w:rsid w:val="00056DC9"/>
    <w:rsid w:val="00057F6A"/>
    <w:rsid w:val="00060F60"/>
    <w:rsid w:val="00061300"/>
    <w:rsid w:val="000616CC"/>
    <w:rsid w:val="00063EAD"/>
    <w:rsid w:val="00064095"/>
    <w:rsid w:val="00065A9F"/>
    <w:rsid w:val="00067304"/>
    <w:rsid w:val="000702D0"/>
    <w:rsid w:val="0007081F"/>
    <w:rsid w:val="00077E94"/>
    <w:rsid w:val="00083F8C"/>
    <w:rsid w:val="00084594"/>
    <w:rsid w:val="000861AE"/>
    <w:rsid w:val="00086A84"/>
    <w:rsid w:val="00086CCC"/>
    <w:rsid w:val="00090567"/>
    <w:rsid w:val="00095211"/>
    <w:rsid w:val="00095EE3"/>
    <w:rsid w:val="000961EC"/>
    <w:rsid w:val="00096F70"/>
    <w:rsid w:val="000975B6"/>
    <w:rsid w:val="00097E58"/>
    <w:rsid w:val="00097F7A"/>
    <w:rsid w:val="000A0272"/>
    <w:rsid w:val="000A0BAF"/>
    <w:rsid w:val="000A1DB9"/>
    <w:rsid w:val="000A1E3D"/>
    <w:rsid w:val="000A4155"/>
    <w:rsid w:val="000A4698"/>
    <w:rsid w:val="000A5435"/>
    <w:rsid w:val="000A60FD"/>
    <w:rsid w:val="000B4BE3"/>
    <w:rsid w:val="000B60B0"/>
    <w:rsid w:val="000B67C9"/>
    <w:rsid w:val="000B74D5"/>
    <w:rsid w:val="000C1E34"/>
    <w:rsid w:val="000C5D9D"/>
    <w:rsid w:val="000D220B"/>
    <w:rsid w:val="000D22B6"/>
    <w:rsid w:val="000D22CB"/>
    <w:rsid w:val="000D2942"/>
    <w:rsid w:val="000D317B"/>
    <w:rsid w:val="000D39E6"/>
    <w:rsid w:val="000D3D68"/>
    <w:rsid w:val="000D475C"/>
    <w:rsid w:val="000D4E86"/>
    <w:rsid w:val="000D5E39"/>
    <w:rsid w:val="000D6204"/>
    <w:rsid w:val="000D651D"/>
    <w:rsid w:val="000D6B40"/>
    <w:rsid w:val="000D6F82"/>
    <w:rsid w:val="000D738F"/>
    <w:rsid w:val="000E1502"/>
    <w:rsid w:val="000E383F"/>
    <w:rsid w:val="000E4599"/>
    <w:rsid w:val="000E51D4"/>
    <w:rsid w:val="000E5B8A"/>
    <w:rsid w:val="000F3BE7"/>
    <w:rsid w:val="000F6C2D"/>
    <w:rsid w:val="001027CA"/>
    <w:rsid w:val="00105BA4"/>
    <w:rsid w:val="001068A8"/>
    <w:rsid w:val="00107208"/>
    <w:rsid w:val="00112D2D"/>
    <w:rsid w:val="001136A4"/>
    <w:rsid w:val="0011698D"/>
    <w:rsid w:val="001209F9"/>
    <w:rsid w:val="001233B4"/>
    <w:rsid w:val="0012503F"/>
    <w:rsid w:val="00125EA8"/>
    <w:rsid w:val="0012633C"/>
    <w:rsid w:val="00130904"/>
    <w:rsid w:val="00131F40"/>
    <w:rsid w:val="00134604"/>
    <w:rsid w:val="00135502"/>
    <w:rsid w:val="001363DF"/>
    <w:rsid w:val="0013650F"/>
    <w:rsid w:val="00136D9A"/>
    <w:rsid w:val="00137102"/>
    <w:rsid w:val="00141E1E"/>
    <w:rsid w:val="00142295"/>
    <w:rsid w:val="00143BF4"/>
    <w:rsid w:val="00144452"/>
    <w:rsid w:val="001446C2"/>
    <w:rsid w:val="00144747"/>
    <w:rsid w:val="00146789"/>
    <w:rsid w:val="0015083E"/>
    <w:rsid w:val="00151312"/>
    <w:rsid w:val="00151A66"/>
    <w:rsid w:val="00152CAF"/>
    <w:rsid w:val="001541E6"/>
    <w:rsid w:val="001629AD"/>
    <w:rsid w:val="001630CC"/>
    <w:rsid w:val="00163391"/>
    <w:rsid w:val="001711ED"/>
    <w:rsid w:val="00177E38"/>
    <w:rsid w:val="00181BA6"/>
    <w:rsid w:val="00181C74"/>
    <w:rsid w:val="00182D40"/>
    <w:rsid w:val="001864D8"/>
    <w:rsid w:val="00187A93"/>
    <w:rsid w:val="00191763"/>
    <w:rsid w:val="001931F3"/>
    <w:rsid w:val="00194237"/>
    <w:rsid w:val="001955B5"/>
    <w:rsid w:val="001A0697"/>
    <w:rsid w:val="001A0824"/>
    <w:rsid w:val="001A20CB"/>
    <w:rsid w:val="001A21D5"/>
    <w:rsid w:val="001A2EDD"/>
    <w:rsid w:val="001A378A"/>
    <w:rsid w:val="001A3CED"/>
    <w:rsid w:val="001A54E2"/>
    <w:rsid w:val="001A6099"/>
    <w:rsid w:val="001B0498"/>
    <w:rsid w:val="001B1D20"/>
    <w:rsid w:val="001B275E"/>
    <w:rsid w:val="001B50B5"/>
    <w:rsid w:val="001B7923"/>
    <w:rsid w:val="001B79C4"/>
    <w:rsid w:val="001C0238"/>
    <w:rsid w:val="001C0382"/>
    <w:rsid w:val="001C23F8"/>
    <w:rsid w:val="001C2643"/>
    <w:rsid w:val="001C467E"/>
    <w:rsid w:val="001C4D83"/>
    <w:rsid w:val="001C784E"/>
    <w:rsid w:val="001D0DEF"/>
    <w:rsid w:val="001D3776"/>
    <w:rsid w:val="001D3FA5"/>
    <w:rsid w:val="001D448A"/>
    <w:rsid w:val="001D458C"/>
    <w:rsid w:val="001D6421"/>
    <w:rsid w:val="001E0BAD"/>
    <w:rsid w:val="001E22A4"/>
    <w:rsid w:val="001E2DC1"/>
    <w:rsid w:val="001E5AF8"/>
    <w:rsid w:val="001E5B98"/>
    <w:rsid w:val="001E67B4"/>
    <w:rsid w:val="001E6E8B"/>
    <w:rsid w:val="001F1A52"/>
    <w:rsid w:val="001F1D06"/>
    <w:rsid w:val="001F1ED2"/>
    <w:rsid w:val="001F2099"/>
    <w:rsid w:val="001F3ED0"/>
    <w:rsid w:val="001F540C"/>
    <w:rsid w:val="001F5475"/>
    <w:rsid w:val="00202DDD"/>
    <w:rsid w:val="00203759"/>
    <w:rsid w:val="00204028"/>
    <w:rsid w:val="0020700E"/>
    <w:rsid w:val="00211F10"/>
    <w:rsid w:val="00212A6B"/>
    <w:rsid w:val="002142B0"/>
    <w:rsid w:val="0021517C"/>
    <w:rsid w:val="002163FC"/>
    <w:rsid w:val="00216639"/>
    <w:rsid w:val="0022146C"/>
    <w:rsid w:val="00222BF2"/>
    <w:rsid w:val="002239E0"/>
    <w:rsid w:val="002242EC"/>
    <w:rsid w:val="002253A0"/>
    <w:rsid w:val="0022701C"/>
    <w:rsid w:val="002310F3"/>
    <w:rsid w:val="0023386C"/>
    <w:rsid w:val="00233C3D"/>
    <w:rsid w:val="00234952"/>
    <w:rsid w:val="00240778"/>
    <w:rsid w:val="00242696"/>
    <w:rsid w:val="002440CF"/>
    <w:rsid w:val="0024660E"/>
    <w:rsid w:val="00247D56"/>
    <w:rsid w:val="0025213D"/>
    <w:rsid w:val="002529AD"/>
    <w:rsid w:val="002538DA"/>
    <w:rsid w:val="00253B59"/>
    <w:rsid w:val="00254DDC"/>
    <w:rsid w:val="0025586C"/>
    <w:rsid w:val="00255EFE"/>
    <w:rsid w:val="00263624"/>
    <w:rsid w:val="00264954"/>
    <w:rsid w:val="00264A60"/>
    <w:rsid w:val="002650C2"/>
    <w:rsid w:val="002671EF"/>
    <w:rsid w:val="002677D9"/>
    <w:rsid w:val="00270086"/>
    <w:rsid w:val="00271651"/>
    <w:rsid w:val="00271A44"/>
    <w:rsid w:val="00272009"/>
    <w:rsid w:val="00273BAD"/>
    <w:rsid w:val="002752E5"/>
    <w:rsid w:val="00275ABA"/>
    <w:rsid w:val="002763E6"/>
    <w:rsid w:val="00276DFB"/>
    <w:rsid w:val="002771A4"/>
    <w:rsid w:val="002805BC"/>
    <w:rsid w:val="00281B5F"/>
    <w:rsid w:val="00283777"/>
    <w:rsid w:val="0028778A"/>
    <w:rsid w:val="00291AED"/>
    <w:rsid w:val="002936D7"/>
    <w:rsid w:val="00293FE7"/>
    <w:rsid w:val="00296201"/>
    <w:rsid w:val="0029711E"/>
    <w:rsid w:val="00297C94"/>
    <w:rsid w:val="002A1F78"/>
    <w:rsid w:val="002A3CAE"/>
    <w:rsid w:val="002A5214"/>
    <w:rsid w:val="002B0296"/>
    <w:rsid w:val="002B2895"/>
    <w:rsid w:val="002B28C0"/>
    <w:rsid w:val="002B29C1"/>
    <w:rsid w:val="002B29FD"/>
    <w:rsid w:val="002C01B8"/>
    <w:rsid w:val="002C2A62"/>
    <w:rsid w:val="002C2C28"/>
    <w:rsid w:val="002C5BF4"/>
    <w:rsid w:val="002C5FE0"/>
    <w:rsid w:val="002D3FDE"/>
    <w:rsid w:val="002D5F62"/>
    <w:rsid w:val="002D65AE"/>
    <w:rsid w:val="002D7DF6"/>
    <w:rsid w:val="002E3634"/>
    <w:rsid w:val="002E469A"/>
    <w:rsid w:val="002E54E1"/>
    <w:rsid w:val="002F453F"/>
    <w:rsid w:val="002F4B78"/>
    <w:rsid w:val="002F6983"/>
    <w:rsid w:val="00303E12"/>
    <w:rsid w:val="00305821"/>
    <w:rsid w:val="00306228"/>
    <w:rsid w:val="003063C3"/>
    <w:rsid w:val="00306DB6"/>
    <w:rsid w:val="00310BBC"/>
    <w:rsid w:val="00314CD1"/>
    <w:rsid w:val="003168B0"/>
    <w:rsid w:val="00317E57"/>
    <w:rsid w:val="0032300D"/>
    <w:rsid w:val="003233ED"/>
    <w:rsid w:val="00325736"/>
    <w:rsid w:val="00326321"/>
    <w:rsid w:val="00327715"/>
    <w:rsid w:val="003314EA"/>
    <w:rsid w:val="00332F70"/>
    <w:rsid w:val="003331A2"/>
    <w:rsid w:val="003348DF"/>
    <w:rsid w:val="003350E3"/>
    <w:rsid w:val="0033525A"/>
    <w:rsid w:val="00335EA7"/>
    <w:rsid w:val="00337045"/>
    <w:rsid w:val="003408EA"/>
    <w:rsid w:val="00340951"/>
    <w:rsid w:val="00340C68"/>
    <w:rsid w:val="00341559"/>
    <w:rsid w:val="00341D34"/>
    <w:rsid w:val="003427EE"/>
    <w:rsid w:val="0034404F"/>
    <w:rsid w:val="00356383"/>
    <w:rsid w:val="00356D00"/>
    <w:rsid w:val="003577F8"/>
    <w:rsid w:val="00360952"/>
    <w:rsid w:val="0036284C"/>
    <w:rsid w:val="00364139"/>
    <w:rsid w:val="0036760C"/>
    <w:rsid w:val="00372F35"/>
    <w:rsid w:val="00372FF5"/>
    <w:rsid w:val="00373652"/>
    <w:rsid w:val="00373C14"/>
    <w:rsid w:val="00374D7E"/>
    <w:rsid w:val="00376038"/>
    <w:rsid w:val="0038110C"/>
    <w:rsid w:val="00381636"/>
    <w:rsid w:val="00381B04"/>
    <w:rsid w:val="00382B1B"/>
    <w:rsid w:val="00382F91"/>
    <w:rsid w:val="00383E68"/>
    <w:rsid w:val="0038420C"/>
    <w:rsid w:val="00386E61"/>
    <w:rsid w:val="00387D7F"/>
    <w:rsid w:val="00390D18"/>
    <w:rsid w:val="00393CE2"/>
    <w:rsid w:val="003940FF"/>
    <w:rsid w:val="00396ED9"/>
    <w:rsid w:val="00397CFF"/>
    <w:rsid w:val="003A1A70"/>
    <w:rsid w:val="003A2ACB"/>
    <w:rsid w:val="003A6203"/>
    <w:rsid w:val="003A76AF"/>
    <w:rsid w:val="003B0228"/>
    <w:rsid w:val="003B0DFF"/>
    <w:rsid w:val="003B1921"/>
    <w:rsid w:val="003B5DFB"/>
    <w:rsid w:val="003B737C"/>
    <w:rsid w:val="003B78CF"/>
    <w:rsid w:val="003B7928"/>
    <w:rsid w:val="003B7C65"/>
    <w:rsid w:val="003C206A"/>
    <w:rsid w:val="003C23F9"/>
    <w:rsid w:val="003C2520"/>
    <w:rsid w:val="003C32AF"/>
    <w:rsid w:val="003C43DB"/>
    <w:rsid w:val="003C4DD7"/>
    <w:rsid w:val="003C645A"/>
    <w:rsid w:val="003D0129"/>
    <w:rsid w:val="003D20C6"/>
    <w:rsid w:val="003D211B"/>
    <w:rsid w:val="003D4D6F"/>
    <w:rsid w:val="003E1319"/>
    <w:rsid w:val="003E49B8"/>
    <w:rsid w:val="003E4FE4"/>
    <w:rsid w:val="003E5DAA"/>
    <w:rsid w:val="003E7460"/>
    <w:rsid w:val="003F0F29"/>
    <w:rsid w:val="003F38C2"/>
    <w:rsid w:val="003F6E41"/>
    <w:rsid w:val="003F723D"/>
    <w:rsid w:val="003F7A48"/>
    <w:rsid w:val="00405FD9"/>
    <w:rsid w:val="00406B4B"/>
    <w:rsid w:val="00410252"/>
    <w:rsid w:val="00415C82"/>
    <w:rsid w:val="004175D4"/>
    <w:rsid w:val="00422798"/>
    <w:rsid w:val="004242B3"/>
    <w:rsid w:val="00424C7C"/>
    <w:rsid w:val="00426266"/>
    <w:rsid w:val="0042768D"/>
    <w:rsid w:val="00427FDB"/>
    <w:rsid w:val="00430CCB"/>
    <w:rsid w:val="00431C52"/>
    <w:rsid w:val="00431F51"/>
    <w:rsid w:val="00432012"/>
    <w:rsid w:val="0043324C"/>
    <w:rsid w:val="004333F5"/>
    <w:rsid w:val="00435132"/>
    <w:rsid w:val="00437129"/>
    <w:rsid w:val="00440052"/>
    <w:rsid w:val="004411D4"/>
    <w:rsid w:val="004427D5"/>
    <w:rsid w:val="004431F4"/>
    <w:rsid w:val="004437C2"/>
    <w:rsid w:val="00443E9D"/>
    <w:rsid w:val="004450E3"/>
    <w:rsid w:val="00445574"/>
    <w:rsid w:val="00445C02"/>
    <w:rsid w:val="00446362"/>
    <w:rsid w:val="00446A01"/>
    <w:rsid w:val="0044730F"/>
    <w:rsid w:val="00450389"/>
    <w:rsid w:val="00450A88"/>
    <w:rsid w:val="00452F06"/>
    <w:rsid w:val="004544D7"/>
    <w:rsid w:val="00454FDA"/>
    <w:rsid w:val="004557CC"/>
    <w:rsid w:val="00455D71"/>
    <w:rsid w:val="00457ADC"/>
    <w:rsid w:val="004640BB"/>
    <w:rsid w:val="0046563A"/>
    <w:rsid w:val="00465FE8"/>
    <w:rsid w:val="004665BE"/>
    <w:rsid w:val="00467567"/>
    <w:rsid w:val="004708BB"/>
    <w:rsid w:val="00470D3A"/>
    <w:rsid w:val="004727F9"/>
    <w:rsid w:val="004738D1"/>
    <w:rsid w:val="00473A5E"/>
    <w:rsid w:val="00474BD3"/>
    <w:rsid w:val="00474EA3"/>
    <w:rsid w:val="00475092"/>
    <w:rsid w:val="0047595A"/>
    <w:rsid w:val="00475B3C"/>
    <w:rsid w:val="004767D3"/>
    <w:rsid w:val="00480358"/>
    <w:rsid w:val="00481387"/>
    <w:rsid w:val="0048606E"/>
    <w:rsid w:val="00486349"/>
    <w:rsid w:val="00487297"/>
    <w:rsid w:val="00487DED"/>
    <w:rsid w:val="0049121B"/>
    <w:rsid w:val="00492154"/>
    <w:rsid w:val="00495467"/>
    <w:rsid w:val="004A05ED"/>
    <w:rsid w:val="004A433E"/>
    <w:rsid w:val="004A4860"/>
    <w:rsid w:val="004A4A62"/>
    <w:rsid w:val="004A5314"/>
    <w:rsid w:val="004A5894"/>
    <w:rsid w:val="004A7944"/>
    <w:rsid w:val="004B1529"/>
    <w:rsid w:val="004B3300"/>
    <w:rsid w:val="004C11EF"/>
    <w:rsid w:val="004C1C57"/>
    <w:rsid w:val="004C2724"/>
    <w:rsid w:val="004C2A10"/>
    <w:rsid w:val="004C37C8"/>
    <w:rsid w:val="004C3837"/>
    <w:rsid w:val="004C46FE"/>
    <w:rsid w:val="004C6418"/>
    <w:rsid w:val="004D0E71"/>
    <w:rsid w:val="004D1A1D"/>
    <w:rsid w:val="004D1E51"/>
    <w:rsid w:val="004D26B6"/>
    <w:rsid w:val="004D2966"/>
    <w:rsid w:val="004D45C9"/>
    <w:rsid w:val="004D4A79"/>
    <w:rsid w:val="004D6CE4"/>
    <w:rsid w:val="004D6D92"/>
    <w:rsid w:val="004E0B76"/>
    <w:rsid w:val="004E33C7"/>
    <w:rsid w:val="004E3D4D"/>
    <w:rsid w:val="004E54BA"/>
    <w:rsid w:val="004E5FE2"/>
    <w:rsid w:val="004F10CB"/>
    <w:rsid w:val="004F2272"/>
    <w:rsid w:val="004F4F08"/>
    <w:rsid w:val="004F62E6"/>
    <w:rsid w:val="00500825"/>
    <w:rsid w:val="005022A6"/>
    <w:rsid w:val="00502FD5"/>
    <w:rsid w:val="00503347"/>
    <w:rsid w:val="0051083B"/>
    <w:rsid w:val="00515606"/>
    <w:rsid w:val="0051779D"/>
    <w:rsid w:val="00522824"/>
    <w:rsid w:val="00524506"/>
    <w:rsid w:val="005255FD"/>
    <w:rsid w:val="00530354"/>
    <w:rsid w:val="0053129F"/>
    <w:rsid w:val="005324A3"/>
    <w:rsid w:val="00532619"/>
    <w:rsid w:val="0053747C"/>
    <w:rsid w:val="00537494"/>
    <w:rsid w:val="00542070"/>
    <w:rsid w:val="00545847"/>
    <w:rsid w:val="00546BFB"/>
    <w:rsid w:val="0055066D"/>
    <w:rsid w:val="00550E69"/>
    <w:rsid w:val="0055100E"/>
    <w:rsid w:val="00551E59"/>
    <w:rsid w:val="00556DF1"/>
    <w:rsid w:val="0056015F"/>
    <w:rsid w:val="005604EE"/>
    <w:rsid w:val="00561B56"/>
    <w:rsid w:val="0056228B"/>
    <w:rsid w:val="005629CC"/>
    <w:rsid w:val="00564D1D"/>
    <w:rsid w:val="00566831"/>
    <w:rsid w:val="00575C82"/>
    <w:rsid w:val="005816D3"/>
    <w:rsid w:val="0058551B"/>
    <w:rsid w:val="005903D4"/>
    <w:rsid w:val="005911BD"/>
    <w:rsid w:val="00591535"/>
    <w:rsid w:val="005915DE"/>
    <w:rsid w:val="005924FD"/>
    <w:rsid w:val="00594761"/>
    <w:rsid w:val="0059680D"/>
    <w:rsid w:val="00596DE5"/>
    <w:rsid w:val="005A1890"/>
    <w:rsid w:val="005A3A68"/>
    <w:rsid w:val="005A59D1"/>
    <w:rsid w:val="005A6076"/>
    <w:rsid w:val="005A686F"/>
    <w:rsid w:val="005B002E"/>
    <w:rsid w:val="005B34E6"/>
    <w:rsid w:val="005B6BC6"/>
    <w:rsid w:val="005C0867"/>
    <w:rsid w:val="005C3F8F"/>
    <w:rsid w:val="005C4F01"/>
    <w:rsid w:val="005C621F"/>
    <w:rsid w:val="005D1326"/>
    <w:rsid w:val="005D1FE4"/>
    <w:rsid w:val="005D2524"/>
    <w:rsid w:val="005D33FA"/>
    <w:rsid w:val="005D34CE"/>
    <w:rsid w:val="005D6CB1"/>
    <w:rsid w:val="005E5178"/>
    <w:rsid w:val="005E671F"/>
    <w:rsid w:val="005E6828"/>
    <w:rsid w:val="005E7C20"/>
    <w:rsid w:val="005F2AEC"/>
    <w:rsid w:val="005F57CC"/>
    <w:rsid w:val="005F639A"/>
    <w:rsid w:val="005F6527"/>
    <w:rsid w:val="006053B6"/>
    <w:rsid w:val="00606339"/>
    <w:rsid w:val="00606A9F"/>
    <w:rsid w:val="00606BAF"/>
    <w:rsid w:val="00607A94"/>
    <w:rsid w:val="00607F92"/>
    <w:rsid w:val="0061033C"/>
    <w:rsid w:val="00611093"/>
    <w:rsid w:val="006114B0"/>
    <w:rsid w:val="006123C9"/>
    <w:rsid w:val="00614C8A"/>
    <w:rsid w:val="00615700"/>
    <w:rsid w:val="006168E7"/>
    <w:rsid w:val="006221A6"/>
    <w:rsid w:val="0062428D"/>
    <w:rsid w:val="00624593"/>
    <w:rsid w:val="00627538"/>
    <w:rsid w:val="006332BC"/>
    <w:rsid w:val="006366D9"/>
    <w:rsid w:val="00637CE1"/>
    <w:rsid w:val="00640B25"/>
    <w:rsid w:val="006421A5"/>
    <w:rsid w:val="00642D86"/>
    <w:rsid w:val="006443B9"/>
    <w:rsid w:val="006446DD"/>
    <w:rsid w:val="00646122"/>
    <w:rsid w:val="00646A2B"/>
    <w:rsid w:val="00647CF1"/>
    <w:rsid w:val="006503E5"/>
    <w:rsid w:val="00650A75"/>
    <w:rsid w:val="00651B89"/>
    <w:rsid w:val="00652597"/>
    <w:rsid w:val="0065307F"/>
    <w:rsid w:val="00653FD9"/>
    <w:rsid w:val="006556E9"/>
    <w:rsid w:val="006556EF"/>
    <w:rsid w:val="0065733F"/>
    <w:rsid w:val="00661A99"/>
    <w:rsid w:val="00662E78"/>
    <w:rsid w:val="006639D6"/>
    <w:rsid w:val="00666482"/>
    <w:rsid w:val="00666A73"/>
    <w:rsid w:val="00667429"/>
    <w:rsid w:val="006675A2"/>
    <w:rsid w:val="00667E38"/>
    <w:rsid w:val="00670AF8"/>
    <w:rsid w:val="00671E37"/>
    <w:rsid w:val="00673365"/>
    <w:rsid w:val="0067359E"/>
    <w:rsid w:val="006756C5"/>
    <w:rsid w:val="00681C4A"/>
    <w:rsid w:val="00682BE9"/>
    <w:rsid w:val="006837E7"/>
    <w:rsid w:val="00684B8B"/>
    <w:rsid w:val="00687A76"/>
    <w:rsid w:val="0069024A"/>
    <w:rsid w:val="00690E02"/>
    <w:rsid w:val="00690EC1"/>
    <w:rsid w:val="00691545"/>
    <w:rsid w:val="00691DF3"/>
    <w:rsid w:val="00692AAC"/>
    <w:rsid w:val="0069698D"/>
    <w:rsid w:val="006975A8"/>
    <w:rsid w:val="006975CB"/>
    <w:rsid w:val="006A1FB7"/>
    <w:rsid w:val="006A2BCB"/>
    <w:rsid w:val="006A3957"/>
    <w:rsid w:val="006A629C"/>
    <w:rsid w:val="006A7FEC"/>
    <w:rsid w:val="006B0DEA"/>
    <w:rsid w:val="006B428D"/>
    <w:rsid w:val="006B60F2"/>
    <w:rsid w:val="006B7F7C"/>
    <w:rsid w:val="006C0F72"/>
    <w:rsid w:val="006C3E7E"/>
    <w:rsid w:val="006C40AA"/>
    <w:rsid w:val="006C6F65"/>
    <w:rsid w:val="006C73D0"/>
    <w:rsid w:val="006D30B1"/>
    <w:rsid w:val="006D5B8C"/>
    <w:rsid w:val="006D6169"/>
    <w:rsid w:val="006D7F52"/>
    <w:rsid w:val="006E2C9C"/>
    <w:rsid w:val="006E4092"/>
    <w:rsid w:val="006E49AD"/>
    <w:rsid w:val="006E61F3"/>
    <w:rsid w:val="006F20EB"/>
    <w:rsid w:val="006F2DBA"/>
    <w:rsid w:val="006F5ACC"/>
    <w:rsid w:val="00700261"/>
    <w:rsid w:val="00701170"/>
    <w:rsid w:val="00704A98"/>
    <w:rsid w:val="00705B52"/>
    <w:rsid w:val="00707957"/>
    <w:rsid w:val="007106E3"/>
    <w:rsid w:val="007155FF"/>
    <w:rsid w:val="00717090"/>
    <w:rsid w:val="00717901"/>
    <w:rsid w:val="0071790A"/>
    <w:rsid w:val="00717F44"/>
    <w:rsid w:val="00721344"/>
    <w:rsid w:val="0072147A"/>
    <w:rsid w:val="00726A24"/>
    <w:rsid w:val="007274BE"/>
    <w:rsid w:val="007309AB"/>
    <w:rsid w:val="007313F4"/>
    <w:rsid w:val="00732489"/>
    <w:rsid w:val="007361A6"/>
    <w:rsid w:val="007364C1"/>
    <w:rsid w:val="007372FC"/>
    <w:rsid w:val="00741BF5"/>
    <w:rsid w:val="00742DBA"/>
    <w:rsid w:val="007455A1"/>
    <w:rsid w:val="00745F0C"/>
    <w:rsid w:val="007511C6"/>
    <w:rsid w:val="00752946"/>
    <w:rsid w:val="007536E7"/>
    <w:rsid w:val="00755E25"/>
    <w:rsid w:val="00761DED"/>
    <w:rsid w:val="00763A42"/>
    <w:rsid w:val="007664D0"/>
    <w:rsid w:val="00770DDB"/>
    <w:rsid w:val="00771F8B"/>
    <w:rsid w:val="00773536"/>
    <w:rsid w:val="00773F49"/>
    <w:rsid w:val="00774B48"/>
    <w:rsid w:val="007753EF"/>
    <w:rsid w:val="0077589E"/>
    <w:rsid w:val="007763B4"/>
    <w:rsid w:val="00777BEA"/>
    <w:rsid w:val="00780A7D"/>
    <w:rsid w:val="00782F11"/>
    <w:rsid w:val="00785D11"/>
    <w:rsid w:val="007868FE"/>
    <w:rsid w:val="0079063E"/>
    <w:rsid w:val="00790688"/>
    <w:rsid w:val="00790C91"/>
    <w:rsid w:val="00792A2B"/>
    <w:rsid w:val="00797EC3"/>
    <w:rsid w:val="007A05E8"/>
    <w:rsid w:val="007A19F9"/>
    <w:rsid w:val="007A33DE"/>
    <w:rsid w:val="007A4414"/>
    <w:rsid w:val="007A4538"/>
    <w:rsid w:val="007A48BF"/>
    <w:rsid w:val="007A7B03"/>
    <w:rsid w:val="007B1875"/>
    <w:rsid w:val="007B41DE"/>
    <w:rsid w:val="007B4DA0"/>
    <w:rsid w:val="007C011D"/>
    <w:rsid w:val="007C1269"/>
    <w:rsid w:val="007C266F"/>
    <w:rsid w:val="007C7B0C"/>
    <w:rsid w:val="007D5AF7"/>
    <w:rsid w:val="007E06BC"/>
    <w:rsid w:val="007E0901"/>
    <w:rsid w:val="007E0919"/>
    <w:rsid w:val="007E243C"/>
    <w:rsid w:val="007E28DB"/>
    <w:rsid w:val="007E5769"/>
    <w:rsid w:val="007E67CF"/>
    <w:rsid w:val="007F6789"/>
    <w:rsid w:val="007F69ED"/>
    <w:rsid w:val="007F6B27"/>
    <w:rsid w:val="008012D6"/>
    <w:rsid w:val="00802966"/>
    <w:rsid w:val="00802BBD"/>
    <w:rsid w:val="00803DAE"/>
    <w:rsid w:val="00804C07"/>
    <w:rsid w:val="00804FB2"/>
    <w:rsid w:val="00807011"/>
    <w:rsid w:val="00807598"/>
    <w:rsid w:val="00814340"/>
    <w:rsid w:val="00814E95"/>
    <w:rsid w:val="00815800"/>
    <w:rsid w:val="00815D6B"/>
    <w:rsid w:val="008164FB"/>
    <w:rsid w:val="00817051"/>
    <w:rsid w:val="00820976"/>
    <w:rsid w:val="0082299A"/>
    <w:rsid w:val="008235EB"/>
    <w:rsid w:val="00826939"/>
    <w:rsid w:val="00826B88"/>
    <w:rsid w:val="00831B0D"/>
    <w:rsid w:val="00832913"/>
    <w:rsid w:val="008335F3"/>
    <w:rsid w:val="00833656"/>
    <w:rsid w:val="008339E1"/>
    <w:rsid w:val="00837399"/>
    <w:rsid w:val="0084190F"/>
    <w:rsid w:val="00841BDB"/>
    <w:rsid w:val="00842BE4"/>
    <w:rsid w:val="00843AF9"/>
    <w:rsid w:val="00843F1F"/>
    <w:rsid w:val="008477DD"/>
    <w:rsid w:val="008512AD"/>
    <w:rsid w:val="008521D5"/>
    <w:rsid w:val="008529E0"/>
    <w:rsid w:val="00852DCA"/>
    <w:rsid w:val="00852FDD"/>
    <w:rsid w:val="00853BE3"/>
    <w:rsid w:val="00854075"/>
    <w:rsid w:val="00854EFF"/>
    <w:rsid w:val="00856492"/>
    <w:rsid w:val="0085771F"/>
    <w:rsid w:val="00857F38"/>
    <w:rsid w:val="00860507"/>
    <w:rsid w:val="00864C63"/>
    <w:rsid w:val="00866399"/>
    <w:rsid w:val="00871BCA"/>
    <w:rsid w:val="00871FEB"/>
    <w:rsid w:val="008726A8"/>
    <w:rsid w:val="00873AF1"/>
    <w:rsid w:val="00873F2E"/>
    <w:rsid w:val="008751D3"/>
    <w:rsid w:val="00875CB3"/>
    <w:rsid w:val="00877C9B"/>
    <w:rsid w:val="00880F34"/>
    <w:rsid w:val="0088143B"/>
    <w:rsid w:val="00883BFA"/>
    <w:rsid w:val="00884B0E"/>
    <w:rsid w:val="00884D2F"/>
    <w:rsid w:val="008854BA"/>
    <w:rsid w:val="008907C2"/>
    <w:rsid w:val="008908D2"/>
    <w:rsid w:val="00895E0B"/>
    <w:rsid w:val="0089721C"/>
    <w:rsid w:val="008A03ED"/>
    <w:rsid w:val="008A0671"/>
    <w:rsid w:val="008A1511"/>
    <w:rsid w:val="008A4C36"/>
    <w:rsid w:val="008A5977"/>
    <w:rsid w:val="008A69DE"/>
    <w:rsid w:val="008A7FBE"/>
    <w:rsid w:val="008B09E1"/>
    <w:rsid w:val="008B0B79"/>
    <w:rsid w:val="008B0E65"/>
    <w:rsid w:val="008B265E"/>
    <w:rsid w:val="008B2D4E"/>
    <w:rsid w:val="008B4F3F"/>
    <w:rsid w:val="008B62A9"/>
    <w:rsid w:val="008B75B8"/>
    <w:rsid w:val="008B7A88"/>
    <w:rsid w:val="008C07C3"/>
    <w:rsid w:val="008C094A"/>
    <w:rsid w:val="008C6332"/>
    <w:rsid w:val="008C682E"/>
    <w:rsid w:val="008C68B8"/>
    <w:rsid w:val="008D0B1A"/>
    <w:rsid w:val="008D1040"/>
    <w:rsid w:val="008D2C99"/>
    <w:rsid w:val="008D5BDC"/>
    <w:rsid w:val="008D5DF6"/>
    <w:rsid w:val="008D5ED4"/>
    <w:rsid w:val="008E0442"/>
    <w:rsid w:val="008E4899"/>
    <w:rsid w:val="008E48FB"/>
    <w:rsid w:val="008E610B"/>
    <w:rsid w:val="008E66AE"/>
    <w:rsid w:val="008E673B"/>
    <w:rsid w:val="008E6FD8"/>
    <w:rsid w:val="008F1225"/>
    <w:rsid w:val="008F6E10"/>
    <w:rsid w:val="008F7433"/>
    <w:rsid w:val="00905DA9"/>
    <w:rsid w:val="00906979"/>
    <w:rsid w:val="00907BD6"/>
    <w:rsid w:val="00912914"/>
    <w:rsid w:val="009139AB"/>
    <w:rsid w:val="00915A8D"/>
    <w:rsid w:val="00916CDD"/>
    <w:rsid w:val="009176F3"/>
    <w:rsid w:val="00920885"/>
    <w:rsid w:val="009212FA"/>
    <w:rsid w:val="00921CCF"/>
    <w:rsid w:val="00922B34"/>
    <w:rsid w:val="00924668"/>
    <w:rsid w:val="0092539C"/>
    <w:rsid w:val="00932B81"/>
    <w:rsid w:val="00932EAE"/>
    <w:rsid w:val="009352B1"/>
    <w:rsid w:val="00935BDD"/>
    <w:rsid w:val="00941DB8"/>
    <w:rsid w:val="00950BAF"/>
    <w:rsid w:val="00950D2E"/>
    <w:rsid w:val="009510CE"/>
    <w:rsid w:val="00951421"/>
    <w:rsid w:val="0095304C"/>
    <w:rsid w:val="009554DE"/>
    <w:rsid w:val="0096149B"/>
    <w:rsid w:val="009616AE"/>
    <w:rsid w:val="00961F13"/>
    <w:rsid w:val="009628E7"/>
    <w:rsid w:val="00963427"/>
    <w:rsid w:val="00967912"/>
    <w:rsid w:val="00967BD4"/>
    <w:rsid w:val="00975635"/>
    <w:rsid w:val="00976834"/>
    <w:rsid w:val="00976997"/>
    <w:rsid w:val="00976EB1"/>
    <w:rsid w:val="009800E0"/>
    <w:rsid w:val="009806B8"/>
    <w:rsid w:val="0098076A"/>
    <w:rsid w:val="00980FE4"/>
    <w:rsid w:val="009818DE"/>
    <w:rsid w:val="00981F12"/>
    <w:rsid w:val="00983D8A"/>
    <w:rsid w:val="00984091"/>
    <w:rsid w:val="00985F75"/>
    <w:rsid w:val="00990B51"/>
    <w:rsid w:val="00992A98"/>
    <w:rsid w:val="00994468"/>
    <w:rsid w:val="00994AF8"/>
    <w:rsid w:val="00994C8F"/>
    <w:rsid w:val="00996372"/>
    <w:rsid w:val="009A07E5"/>
    <w:rsid w:val="009A0BF6"/>
    <w:rsid w:val="009A3AC8"/>
    <w:rsid w:val="009A7A75"/>
    <w:rsid w:val="009A7DBF"/>
    <w:rsid w:val="009B0038"/>
    <w:rsid w:val="009B569B"/>
    <w:rsid w:val="009B66ED"/>
    <w:rsid w:val="009B6B55"/>
    <w:rsid w:val="009C3973"/>
    <w:rsid w:val="009C46F8"/>
    <w:rsid w:val="009C5758"/>
    <w:rsid w:val="009C5C8C"/>
    <w:rsid w:val="009D0159"/>
    <w:rsid w:val="009D0B0D"/>
    <w:rsid w:val="009D0DA0"/>
    <w:rsid w:val="009D1045"/>
    <w:rsid w:val="009D32C3"/>
    <w:rsid w:val="009D46A6"/>
    <w:rsid w:val="009E0234"/>
    <w:rsid w:val="009E4020"/>
    <w:rsid w:val="009E5678"/>
    <w:rsid w:val="009E7410"/>
    <w:rsid w:val="009F023B"/>
    <w:rsid w:val="009F0A7F"/>
    <w:rsid w:val="009F103F"/>
    <w:rsid w:val="009F14F1"/>
    <w:rsid w:val="009F2851"/>
    <w:rsid w:val="009F5796"/>
    <w:rsid w:val="009F6747"/>
    <w:rsid w:val="009F6FB1"/>
    <w:rsid w:val="009F713A"/>
    <w:rsid w:val="00A02BFF"/>
    <w:rsid w:val="00A0390B"/>
    <w:rsid w:val="00A050E6"/>
    <w:rsid w:val="00A1171D"/>
    <w:rsid w:val="00A12323"/>
    <w:rsid w:val="00A12950"/>
    <w:rsid w:val="00A15135"/>
    <w:rsid w:val="00A16F9C"/>
    <w:rsid w:val="00A17651"/>
    <w:rsid w:val="00A23D84"/>
    <w:rsid w:val="00A25507"/>
    <w:rsid w:val="00A273F1"/>
    <w:rsid w:val="00A30552"/>
    <w:rsid w:val="00A310A6"/>
    <w:rsid w:val="00A32437"/>
    <w:rsid w:val="00A327E4"/>
    <w:rsid w:val="00A41B30"/>
    <w:rsid w:val="00A442B3"/>
    <w:rsid w:val="00A450B3"/>
    <w:rsid w:val="00A465BE"/>
    <w:rsid w:val="00A51275"/>
    <w:rsid w:val="00A520A1"/>
    <w:rsid w:val="00A536A6"/>
    <w:rsid w:val="00A54760"/>
    <w:rsid w:val="00A5476B"/>
    <w:rsid w:val="00A550EB"/>
    <w:rsid w:val="00A55F9F"/>
    <w:rsid w:val="00A56E87"/>
    <w:rsid w:val="00A5709B"/>
    <w:rsid w:val="00A60020"/>
    <w:rsid w:val="00A61391"/>
    <w:rsid w:val="00A62F39"/>
    <w:rsid w:val="00A630AF"/>
    <w:rsid w:val="00A63340"/>
    <w:rsid w:val="00A638EC"/>
    <w:rsid w:val="00A65D56"/>
    <w:rsid w:val="00A70266"/>
    <w:rsid w:val="00A70BBA"/>
    <w:rsid w:val="00A82816"/>
    <w:rsid w:val="00A838A6"/>
    <w:rsid w:val="00A83AE9"/>
    <w:rsid w:val="00A858F0"/>
    <w:rsid w:val="00A86193"/>
    <w:rsid w:val="00A8775D"/>
    <w:rsid w:val="00A87CBA"/>
    <w:rsid w:val="00A93149"/>
    <w:rsid w:val="00A9767E"/>
    <w:rsid w:val="00AA05D2"/>
    <w:rsid w:val="00AA0D55"/>
    <w:rsid w:val="00AA24EB"/>
    <w:rsid w:val="00AA41F1"/>
    <w:rsid w:val="00AA533C"/>
    <w:rsid w:val="00AB1FE2"/>
    <w:rsid w:val="00AB2040"/>
    <w:rsid w:val="00AB2EE8"/>
    <w:rsid w:val="00AB5A0E"/>
    <w:rsid w:val="00AB76D2"/>
    <w:rsid w:val="00AC39D9"/>
    <w:rsid w:val="00AC669C"/>
    <w:rsid w:val="00AC7788"/>
    <w:rsid w:val="00AD039B"/>
    <w:rsid w:val="00AD3230"/>
    <w:rsid w:val="00AD3791"/>
    <w:rsid w:val="00AD3EE5"/>
    <w:rsid w:val="00AD50B9"/>
    <w:rsid w:val="00AD5518"/>
    <w:rsid w:val="00AD62C8"/>
    <w:rsid w:val="00AE072D"/>
    <w:rsid w:val="00AE07A1"/>
    <w:rsid w:val="00AE1C92"/>
    <w:rsid w:val="00AE3DAC"/>
    <w:rsid w:val="00AE4FF5"/>
    <w:rsid w:val="00AE5F4F"/>
    <w:rsid w:val="00AE787A"/>
    <w:rsid w:val="00AE7BF6"/>
    <w:rsid w:val="00AF0515"/>
    <w:rsid w:val="00AF0960"/>
    <w:rsid w:val="00AF1681"/>
    <w:rsid w:val="00AF1DB0"/>
    <w:rsid w:val="00AF25F5"/>
    <w:rsid w:val="00AF2D4C"/>
    <w:rsid w:val="00AF3E35"/>
    <w:rsid w:val="00AF48C4"/>
    <w:rsid w:val="00AF6034"/>
    <w:rsid w:val="00B000AC"/>
    <w:rsid w:val="00B00B20"/>
    <w:rsid w:val="00B00BEE"/>
    <w:rsid w:val="00B0165E"/>
    <w:rsid w:val="00B0720F"/>
    <w:rsid w:val="00B07ED1"/>
    <w:rsid w:val="00B10C63"/>
    <w:rsid w:val="00B10DEA"/>
    <w:rsid w:val="00B1149C"/>
    <w:rsid w:val="00B118DF"/>
    <w:rsid w:val="00B15213"/>
    <w:rsid w:val="00B201FD"/>
    <w:rsid w:val="00B20452"/>
    <w:rsid w:val="00B21D59"/>
    <w:rsid w:val="00B21F68"/>
    <w:rsid w:val="00B22C2D"/>
    <w:rsid w:val="00B30491"/>
    <w:rsid w:val="00B31A11"/>
    <w:rsid w:val="00B324A6"/>
    <w:rsid w:val="00B32538"/>
    <w:rsid w:val="00B369D5"/>
    <w:rsid w:val="00B36F6E"/>
    <w:rsid w:val="00B37A20"/>
    <w:rsid w:val="00B40C95"/>
    <w:rsid w:val="00B423F5"/>
    <w:rsid w:val="00B44B81"/>
    <w:rsid w:val="00B45771"/>
    <w:rsid w:val="00B45F2E"/>
    <w:rsid w:val="00B51172"/>
    <w:rsid w:val="00B522D8"/>
    <w:rsid w:val="00B53056"/>
    <w:rsid w:val="00B54AB5"/>
    <w:rsid w:val="00B6367B"/>
    <w:rsid w:val="00B6436C"/>
    <w:rsid w:val="00B6502E"/>
    <w:rsid w:val="00B659C7"/>
    <w:rsid w:val="00B65EF3"/>
    <w:rsid w:val="00B67D1F"/>
    <w:rsid w:val="00B741D2"/>
    <w:rsid w:val="00B7498A"/>
    <w:rsid w:val="00B763AF"/>
    <w:rsid w:val="00B76A51"/>
    <w:rsid w:val="00B8129F"/>
    <w:rsid w:val="00B81D26"/>
    <w:rsid w:val="00B82103"/>
    <w:rsid w:val="00B82611"/>
    <w:rsid w:val="00B826A5"/>
    <w:rsid w:val="00B82747"/>
    <w:rsid w:val="00B837A4"/>
    <w:rsid w:val="00B84364"/>
    <w:rsid w:val="00B848BC"/>
    <w:rsid w:val="00B851D5"/>
    <w:rsid w:val="00B85CE2"/>
    <w:rsid w:val="00B872E4"/>
    <w:rsid w:val="00B904A0"/>
    <w:rsid w:val="00B9136E"/>
    <w:rsid w:val="00B933B1"/>
    <w:rsid w:val="00B93464"/>
    <w:rsid w:val="00B94BD9"/>
    <w:rsid w:val="00B961EF"/>
    <w:rsid w:val="00BA081D"/>
    <w:rsid w:val="00BA0F96"/>
    <w:rsid w:val="00BA2198"/>
    <w:rsid w:val="00BA24EA"/>
    <w:rsid w:val="00BB1169"/>
    <w:rsid w:val="00BB147B"/>
    <w:rsid w:val="00BB33A5"/>
    <w:rsid w:val="00BB40F0"/>
    <w:rsid w:val="00BB59F7"/>
    <w:rsid w:val="00BB6DCA"/>
    <w:rsid w:val="00BB7A1D"/>
    <w:rsid w:val="00BC2D1D"/>
    <w:rsid w:val="00BC312E"/>
    <w:rsid w:val="00BC7C19"/>
    <w:rsid w:val="00BC7F68"/>
    <w:rsid w:val="00BD0669"/>
    <w:rsid w:val="00BD07E1"/>
    <w:rsid w:val="00BD0D2A"/>
    <w:rsid w:val="00BD6207"/>
    <w:rsid w:val="00BE14A5"/>
    <w:rsid w:val="00BE4B5F"/>
    <w:rsid w:val="00BE5EFB"/>
    <w:rsid w:val="00BF3F50"/>
    <w:rsid w:val="00BF416F"/>
    <w:rsid w:val="00BF5663"/>
    <w:rsid w:val="00BF590A"/>
    <w:rsid w:val="00BF73F3"/>
    <w:rsid w:val="00C0034C"/>
    <w:rsid w:val="00C0221A"/>
    <w:rsid w:val="00C03FC5"/>
    <w:rsid w:val="00C0547B"/>
    <w:rsid w:val="00C05C32"/>
    <w:rsid w:val="00C10460"/>
    <w:rsid w:val="00C12A4F"/>
    <w:rsid w:val="00C12DB4"/>
    <w:rsid w:val="00C13330"/>
    <w:rsid w:val="00C14AED"/>
    <w:rsid w:val="00C16AB5"/>
    <w:rsid w:val="00C175F7"/>
    <w:rsid w:val="00C2106B"/>
    <w:rsid w:val="00C2110F"/>
    <w:rsid w:val="00C26569"/>
    <w:rsid w:val="00C27B97"/>
    <w:rsid w:val="00C333CA"/>
    <w:rsid w:val="00C36DAB"/>
    <w:rsid w:val="00C36EDA"/>
    <w:rsid w:val="00C37E71"/>
    <w:rsid w:val="00C4356E"/>
    <w:rsid w:val="00C43A91"/>
    <w:rsid w:val="00C45144"/>
    <w:rsid w:val="00C45793"/>
    <w:rsid w:val="00C457EE"/>
    <w:rsid w:val="00C459D8"/>
    <w:rsid w:val="00C462FE"/>
    <w:rsid w:val="00C470D0"/>
    <w:rsid w:val="00C478EE"/>
    <w:rsid w:val="00C52AA4"/>
    <w:rsid w:val="00C55FD6"/>
    <w:rsid w:val="00C60579"/>
    <w:rsid w:val="00C615BA"/>
    <w:rsid w:val="00C616AE"/>
    <w:rsid w:val="00C61B6D"/>
    <w:rsid w:val="00C6218F"/>
    <w:rsid w:val="00C64B51"/>
    <w:rsid w:val="00C65C02"/>
    <w:rsid w:val="00C71BBD"/>
    <w:rsid w:val="00C72A67"/>
    <w:rsid w:val="00C743A7"/>
    <w:rsid w:val="00C74A8A"/>
    <w:rsid w:val="00C751D9"/>
    <w:rsid w:val="00C76B8D"/>
    <w:rsid w:val="00C8000F"/>
    <w:rsid w:val="00C8059E"/>
    <w:rsid w:val="00C80DC7"/>
    <w:rsid w:val="00C8289C"/>
    <w:rsid w:val="00C8368F"/>
    <w:rsid w:val="00C87357"/>
    <w:rsid w:val="00C87D08"/>
    <w:rsid w:val="00C95875"/>
    <w:rsid w:val="00C963BF"/>
    <w:rsid w:val="00CA2103"/>
    <w:rsid w:val="00CA331F"/>
    <w:rsid w:val="00CA45B8"/>
    <w:rsid w:val="00CA676D"/>
    <w:rsid w:val="00CA7830"/>
    <w:rsid w:val="00CA7A38"/>
    <w:rsid w:val="00CB05E5"/>
    <w:rsid w:val="00CB3119"/>
    <w:rsid w:val="00CB5BC3"/>
    <w:rsid w:val="00CB736D"/>
    <w:rsid w:val="00CC0BE7"/>
    <w:rsid w:val="00CC12AD"/>
    <w:rsid w:val="00CC1F4F"/>
    <w:rsid w:val="00CC2432"/>
    <w:rsid w:val="00CC3D81"/>
    <w:rsid w:val="00CD0D6B"/>
    <w:rsid w:val="00CD3942"/>
    <w:rsid w:val="00CD3A0E"/>
    <w:rsid w:val="00CD561D"/>
    <w:rsid w:val="00CD7B28"/>
    <w:rsid w:val="00CE0B4D"/>
    <w:rsid w:val="00CE457D"/>
    <w:rsid w:val="00CE6595"/>
    <w:rsid w:val="00CE6F7A"/>
    <w:rsid w:val="00CF0CDE"/>
    <w:rsid w:val="00CF0EE2"/>
    <w:rsid w:val="00CF3AEE"/>
    <w:rsid w:val="00CF4C05"/>
    <w:rsid w:val="00CF503A"/>
    <w:rsid w:val="00CF562C"/>
    <w:rsid w:val="00D01439"/>
    <w:rsid w:val="00D03EE6"/>
    <w:rsid w:val="00D07E79"/>
    <w:rsid w:val="00D1035A"/>
    <w:rsid w:val="00D10A4C"/>
    <w:rsid w:val="00D14A9F"/>
    <w:rsid w:val="00D16048"/>
    <w:rsid w:val="00D17981"/>
    <w:rsid w:val="00D202F1"/>
    <w:rsid w:val="00D2225C"/>
    <w:rsid w:val="00D253ED"/>
    <w:rsid w:val="00D25859"/>
    <w:rsid w:val="00D25C0A"/>
    <w:rsid w:val="00D25C51"/>
    <w:rsid w:val="00D300E1"/>
    <w:rsid w:val="00D30788"/>
    <w:rsid w:val="00D31069"/>
    <w:rsid w:val="00D31BD8"/>
    <w:rsid w:val="00D31C6D"/>
    <w:rsid w:val="00D3323D"/>
    <w:rsid w:val="00D332D9"/>
    <w:rsid w:val="00D33B00"/>
    <w:rsid w:val="00D364B7"/>
    <w:rsid w:val="00D36DB5"/>
    <w:rsid w:val="00D376D4"/>
    <w:rsid w:val="00D41B11"/>
    <w:rsid w:val="00D45320"/>
    <w:rsid w:val="00D46784"/>
    <w:rsid w:val="00D468B4"/>
    <w:rsid w:val="00D46B2C"/>
    <w:rsid w:val="00D5096E"/>
    <w:rsid w:val="00D51C85"/>
    <w:rsid w:val="00D52966"/>
    <w:rsid w:val="00D53764"/>
    <w:rsid w:val="00D54DA7"/>
    <w:rsid w:val="00D5511B"/>
    <w:rsid w:val="00D62DFA"/>
    <w:rsid w:val="00D66F53"/>
    <w:rsid w:val="00D6792E"/>
    <w:rsid w:val="00D703E0"/>
    <w:rsid w:val="00D703F5"/>
    <w:rsid w:val="00D71500"/>
    <w:rsid w:val="00D725FF"/>
    <w:rsid w:val="00D727A1"/>
    <w:rsid w:val="00D74269"/>
    <w:rsid w:val="00D807C5"/>
    <w:rsid w:val="00D80FF6"/>
    <w:rsid w:val="00D816E8"/>
    <w:rsid w:val="00D91D8E"/>
    <w:rsid w:val="00D92314"/>
    <w:rsid w:val="00D94302"/>
    <w:rsid w:val="00D96713"/>
    <w:rsid w:val="00DA0B7C"/>
    <w:rsid w:val="00DA3007"/>
    <w:rsid w:val="00DA3484"/>
    <w:rsid w:val="00DA3F98"/>
    <w:rsid w:val="00DA4C1A"/>
    <w:rsid w:val="00DA5815"/>
    <w:rsid w:val="00DA6C48"/>
    <w:rsid w:val="00DA7076"/>
    <w:rsid w:val="00DA7B0E"/>
    <w:rsid w:val="00DB2BEE"/>
    <w:rsid w:val="00DB4AC2"/>
    <w:rsid w:val="00DB52C5"/>
    <w:rsid w:val="00DB56DD"/>
    <w:rsid w:val="00DC0194"/>
    <w:rsid w:val="00DC0D07"/>
    <w:rsid w:val="00DC3368"/>
    <w:rsid w:val="00DC3C1E"/>
    <w:rsid w:val="00DC5AC9"/>
    <w:rsid w:val="00DD0238"/>
    <w:rsid w:val="00DD130D"/>
    <w:rsid w:val="00DD2451"/>
    <w:rsid w:val="00DD26CE"/>
    <w:rsid w:val="00DD27F9"/>
    <w:rsid w:val="00DD3277"/>
    <w:rsid w:val="00DD3668"/>
    <w:rsid w:val="00DD509E"/>
    <w:rsid w:val="00DD5F82"/>
    <w:rsid w:val="00DE0F60"/>
    <w:rsid w:val="00DE44E1"/>
    <w:rsid w:val="00DE55C3"/>
    <w:rsid w:val="00DF0644"/>
    <w:rsid w:val="00DF0F32"/>
    <w:rsid w:val="00DF1614"/>
    <w:rsid w:val="00DF446A"/>
    <w:rsid w:val="00DF5B3B"/>
    <w:rsid w:val="00DF6EB3"/>
    <w:rsid w:val="00E00AF2"/>
    <w:rsid w:val="00E01BD4"/>
    <w:rsid w:val="00E03263"/>
    <w:rsid w:val="00E12A17"/>
    <w:rsid w:val="00E22662"/>
    <w:rsid w:val="00E30BC7"/>
    <w:rsid w:val="00E311DF"/>
    <w:rsid w:val="00E349DC"/>
    <w:rsid w:val="00E3559E"/>
    <w:rsid w:val="00E356D3"/>
    <w:rsid w:val="00E37560"/>
    <w:rsid w:val="00E375F1"/>
    <w:rsid w:val="00E37953"/>
    <w:rsid w:val="00E41CA1"/>
    <w:rsid w:val="00E42849"/>
    <w:rsid w:val="00E42955"/>
    <w:rsid w:val="00E4609B"/>
    <w:rsid w:val="00E51A7B"/>
    <w:rsid w:val="00E51A93"/>
    <w:rsid w:val="00E51CDE"/>
    <w:rsid w:val="00E53C1A"/>
    <w:rsid w:val="00E55569"/>
    <w:rsid w:val="00E565B8"/>
    <w:rsid w:val="00E606D3"/>
    <w:rsid w:val="00E64CB0"/>
    <w:rsid w:val="00E65FDA"/>
    <w:rsid w:val="00E74EF4"/>
    <w:rsid w:val="00E76142"/>
    <w:rsid w:val="00E7724E"/>
    <w:rsid w:val="00E77277"/>
    <w:rsid w:val="00E8058D"/>
    <w:rsid w:val="00E80F20"/>
    <w:rsid w:val="00E86D96"/>
    <w:rsid w:val="00E960D8"/>
    <w:rsid w:val="00E9693B"/>
    <w:rsid w:val="00E96DDE"/>
    <w:rsid w:val="00E97636"/>
    <w:rsid w:val="00E97EB2"/>
    <w:rsid w:val="00EA08FC"/>
    <w:rsid w:val="00EA161A"/>
    <w:rsid w:val="00EA178A"/>
    <w:rsid w:val="00EA6DF3"/>
    <w:rsid w:val="00EB0F8D"/>
    <w:rsid w:val="00EB2045"/>
    <w:rsid w:val="00EB2C8A"/>
    <w:rsid w:val="00EB4C09"/>
    <w:rsid w:val="00EB5061"/>
    <w:rsid w:val="00EB5D73"/>
    <w:rsid w:val="00EB60E8"/>
    <w:rsid w:val="00EB661A"/>
    <w:rsid w:val="00EB7631"/>
    <w:rsid w:val="00EB7E64"/>
    <w:rsid w:val="00EC19F3"/>
    <w:rsid w:val="00EC29A7"/>
    <w:rsid w:val="00EC5D89"/>
    <w:rsid w:val="00EC7266"/>
    <w:rsid w:val="00ED01AC"/>
    <w:rsid w:val="00ED091B"/>
    <w:rsid w:val="00ED18DC"/>
    <w:rsid w:val="00ED3122"/>
    <w:rsid w:val="00ED35C4"/>
    <w:rsid w:val="00ED7578"/>
    <w:rsid w:val="00EE43EF"/>
    <w:rsid w:val="00EE4A75"/>
    <w:rsid w:val="00EE4C33"/>
    <w:rsid w:val="00EE5728"/>
    <w:rsid w:val="00EF1CCB"/>
    <w:rsid w:val="00EF28E8"/>
    <w:rsid w:val="00EF2B59"/>
    <w:rsid w:val="00EF3E64"/>
    <w:rsid w:val="00EF42B5"/>
    <w:rsid w:val="00EF43B4"/>
    <w:rsid w:val="00EF45F9"/>
    <w:rsid w:val="00EF531E"/>
    <w:rsid w:val="00EF57CE"/>
    <w:rsid w:val="00EF71AF"/>
    <w:rsid w:val="00F00D31"/>
    <w:rsid w:val="00F00FDE"/>
    <w:rsid w:val="00F0358D"/>
    <w:rsid w:val="00F042BC"/>
    <w:rsid w:val="00F05770"/>
    <w:rsid w:val="00F05D18"/>
    <w:rsid w:val="00F07BEE"/>
    <w:rsid w:val="00F10AA6"/>
    <w:rsid w:val="00F11439"/>
    <w:rsid w:val="00F11B02"/>
    <w:rsid w:val="00F151C4"/>
    <w:rsid w:val="00F15AF0"/>
    <w:rsid w:val="00F16C30"/>
    <w:rsid w:val="00F20780"/>
    <w:rsid w:val="00F2233B"/>
    <w:rsid w:val="00F232C7"/>
    <w:rsid w:val="00F2352C"/>
    <w:rsid w:val="00F2425F"/>
    <w:rsid w:val="00F25080"/>
    <w:rsid w:val="00F30763"/>
    <w:rsid w:val="00F30BD0"/>
    <w:rsid w:val="00F30F53"/>
    <w:rsid w:val="00F30FCD"/>
    <w:rsid w:val="00F32033"/>
    <w:rsid w:val="00F331D7"/>
    <w:rsid w:val="00F3369E"/>
    <w:rsid w:val="00F35FF0"/>
    <w:rsid w:val="00F36408"/>
    <w:rsid w:val="00F4254E"/>
    <w:rsid w:val="00F44A41"/>
    <w:rsid w:val="00F4792B"/>
    <w:rsid w:val="00F5008C"/>
    <w:rsid w:val="00F51982"/>
    <w:rsid w:val="00F60E2F"/>
    <w:rsid w:val="00F623A2"/>
    <w:rsid w:val="00F63E6F"/>
    <w:rsid w:val="00F67850"/>
    <w:rsid w:val="00F7056A"/>
    <w:rsid w:val="00F75C4E"/>
    <w:rsid w:val="00F77543"/>
    <w:rsid w:val="00F824EC"/>
    <w:rsid w:val="00F83FA3"/>
    <w:rsid w:val="00F859D5"/>
    <w:rsid w:val="00F862B2"/>
    <w:rsid w:val="00F87996"/>
    <w:rsid w:val="00F91373"/>
    <w:rsid w:val="00F927DD"/>
    <w:rsid w:val="00F97948"/>
    <w:rsid w:val="00FA1535"/>
    <w:rsid w:val="00FA2BF1"/>
    <w:rsid w:val="00FA2C7C"/>
    <w:rsid w:val="00FA2DD2"/>
    <w:rsid w:val="00FA3019"/>
    <w:rsid w:val="00FA4321"/>
    <w:rsid w:val="00FA6844"/>
    <w:rsid w:val="00FB1FAC"/>
    <w:rsid w:val="00FB2226"/>
    <w:rsid w:val="00FB2DF1"/>
    <w:rsid w:val="00FB35AE"/>
    <w:rsid w:val="00FB4A20"/>
    <w:rsid w:val="00FB4B76"/>
    <w:rsid w:val="00FB5A99"/>
    <w:rsid w:val="00FB5D0D"/>
    <w:rsid w:val="00FB617F"/>
    <w:rsid w:val="00FB678A"/>
    <w:rsid w:val="00FB6BFC"/>
    <w:rsid w:val="00FC4F11"/>
    <w:rsid w:val="00FC53C8"/>
    <w:rsid w:val="00FC5A9D"/>
    <w:rsid w:val="00FC7267"/>
    <w:rsid w:val="00FC7BA8"/>
    <w:rsid w:val="00FD3E1C"/>
    <w:rsid w:val="00FD5B93"/>
    <w:rsid w:val="00FE16CB"/>
    <w:rsid w:val="00FE21D3"/>
    <w:rsid w:val="00FE3DAF"/>
    <w:rsid w:val="00FE4819"/>
    <w:rsid w:val="00FE5354"/>
    <w:rsid w:val="00FE6128"/>
    <w:rsid w:val="00FE7696"/>
    <w:rsid w:val="00FF0054"/>
    <w:rsid w:val="00FF0121"/>
    <w:rsid w:val="00FF06A1"/>
    <w:rsid w:val="00FF079D"/>
    <w:rsid w:val="00FF27E8"/>
    <w:rsid w:val="00FF5996"/>
    <w:rsid w:val="00FF7B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eastAsia="en-US"/>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CharChar42">
    <w:name w:val="Char Char42"/>
    <w:basedOn w:val="DocumentMap"/>
    <w:autoRedefine/>
    <w:rsid w:val="00556DF1"/>
    <w:pPr>
      <w:widowControl w:val="0"/>
      <w:jc w:val="both"/>
    </w:pPr>
    <w:rPr>
      <w:rFonts w:eastAsia="SimSun"/>
      <w:kern w:val="2"/>
      <w:sz w:val="24"/>
      <w:szCs w:val="24"/>
      <w:lang w:val="en-US" w:eastAsia="zh-CN"/>
    </w:rPr>
  </w:style>
  <w:style w:type="paragraph" w:styleId="NormalWeb">
    <w:name w:val="Normal (Web)"/>
    <w:basedOn w:val="Normal"/>
    <w:uiPriority w:val="99"/>
    <w:semiHidden/>
    <w:unhideWhenUsed/>
    <w:rsid w:val="00D2225C"/>
    <w:pPr>
      <w:spacing w:before="100" w:beforeAutospacing="1" w:after="100" w:afterAutospacing="1"/>
    </w:pPr>
    <w:rPr>
      <w:noProof w:val="0"/>
      <w:lang w:eastAsia="vi-VN"/>
    </w:rPr>
  </w:style>
  <w:style w:type="paragraph" w:customStyle="1" w:styleId="CharChar41">
    <w:name w:val="Char Char41"/>
    <w:basedOn w:val="DocumentMap"/>
    <w:autoRedefine/>
    <w:rsid w:val="00EC7266"/>
    <w:pPr>
      <w:widowControl w:val="0"/>
      <w:jc w:val="both"/>
    </w:pPr>
    <w:rPr>
      <w:rFonts w:eastAsia="SimSun"/>
      <w:kern w:val="2"/>
      <w:sz w:val="24"/>
      <w:szCs w:val="24"/>
      <w:lang w:val="en-US" w:eastAsia="zh-CN"/>
    </w:rPr>
  </w:style>
  <w:style w:type="character" w:styleId="CommentReference">
    <w:name w:val="annotation reference"/>
    <w:rsid w:val="00151A66"/>
    <w:rPr>
      <w:sz w:val="16"/>
      <w:szCs w:val="16"/>
    </w:rPr>
  </w:style>
  <w:style w:type="paragraph" w:styleId="CommentText">
    <w:name w:val="annotation text"/>
    <w:basedOn w:val="Normal"/>
    <w:link w:val="CommentTextChar"/>
    <w:rsid w:val="00151A66"/>
    <w:rPr>
      <w:noProof w:val="0"/>
      <w:sz w:val="20"/>
      <w:szCs w:val="20"/>
      <w:lang w:val="en-US"/>
    </w:rPr>
  </w:style>
  <w:style w:type="character" w:customStyle="1" w:styleId="CommentTextChar">
    <w:name w:val="Comment Text Char"/>
    <w:basedOn w:val="DefaultParagraphFont"/>
    <w:link w:val="CommentText"/>
    <w:rsid w:val="00151A66"/>
    <w:rPr>
      <w:lang w:val="en-US" w:eastAsia="en-US"/>
    </w:rPr>
  </w:style>
  <w:style w:type="character" w:customStyle="1" w:styleId="fontstyle01">
    <w:name w:val="fontstyle01"/>
    <w:basedOn w:val="DefaultParagraphFont"/>
    <w:rsid w:val="0024660E"/>
    <w:rPr>
      <w:rFonts w:ascii="TimesNewRomanPSMT" w:hAnsi="TimesNewRomanPSMT"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F11439"/>
    <w:pPr>
      <w:spacing w:after="160" w:line="240" w:lineRule="exact"/>
    </w:pPr>
    <w:rPr>
      <w:noProof w:val="0"/>
      <w:sz w:val="20"/>
      <w:szCs w:val="20"/>
      <w:vertAlign w:val="superscript"/>
      <w:lang w:eastAsia="vi-VN"/>
    </w:rPr>
  </w:style>
  <w:style w:type="paragraph" w:customStyle="1" w:styleId="CharChar40">
    <w:name w:val="Char Char4"/>
    <w:basedOn w:val="DocumentMap"/>
    <w:autoRedefine/>
    <w:rsid w:val="006E61F3"/>
    <w:pPr>
      <w:widowControl w:val="0"/>
      <w:jc w:val="both"/>
    </w:pPr>
    <w:rPr>
      <w:rFonts w:eastAsia="SimSun"/>
      <w:kern w:val="2"/>
      <w:sz w:val="24"/>
      <w:szCs w:val="24"/>
      <w:lang w:val="en-US" w:eastAsia="zh-CN"/>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uiPriority w:val="99"/>
    <w:qFormat/>
    <w:locked/>
    <w:rsid w:val="001931F3"/>
    <w:rPr>
      <w:lang w:val="en-US" w:eastAsia="en-US"/>
    </w:rPr>
  </w:style>
  <w:style w:type="paragraph" w:styleId="Revision">
    <w:name w:val="Revision"/>
    <w:hidden/>
    <w:uiPriority w:val="99"/>
    <w:semiHidden/>
    <w:rsid w:val="000D2942"/>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eastAsia="en-US"/>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CharChar42">
    <w:name w:val="Char Char42"/>
    <w:basedOn w:val="DocumentMap"/>
    <w:autoRedefine/>
    <w:rsid w:val="00556DF1"/>
    <w:pPr>
      <w:widowControl w:val="0"/>
      <w:jc w:val="both"/>
    </w:pPr>
    <w:rPr>
      <w:rFonts w:eastAsia="SimSun"/>
      <w:kern w:val="2"/>
      <w:sz w:val="24"/>
      <w:szCs w:val="24"/>
      <w:lang w:val="en-US" w:eastAsia="zh-CN"/>
    </w:rPr>
  </w:style>
  <w:style w:type="paragraph" w:styleId="NormalWeb">
    <w:name w:val="Normal (Web)"/>
    <w:basedOn w:val="Normal"/>
    <w:uiPriority w:val="99"/>
    <w:semiHidden/>
    <w:unhideWhenUsed/>
    <w:rsid w:val="00D2225C"/>
    <w:pPr>
      <w:spacing w:before="100" w:beforeAutospacing="1" w:after="100" w:afterAutospacing="1"/>
    </w:pPr>
    <w:rPr>
      <w:noProof w:val="0"/>
      <w:lang w:eastAsia="vi-VN"/>
    </w:rPr>
  </w:style>
  <w:style w:type="paragraph" w:customStyle="1" w:styleId="CharChar41">
    <w:name w:val="Char Char41"/>
    <w:basedOn w:val="DocumentMap"/>
    <w:autoRedefine/>
    <w:rsid w:val="00EC7266"/>
    <w:pPr>
      <w:widowControl w:val="0"/>
      <w:jc w:val="both"/>
    </w:pPr>
    <w:rPr>
      <w:rFonts w:eastAsia="SimSun"/>
      <w:kern w:val="2"/>
      <w:sz w:val="24"/>
      <w:szCs w:val="24"/>
      <w:lang w:val="en-US" w:eastAsia="zh-CN"/>
    </w:rPr>
  </w:style>
  <w:style w:type="character" w:styleId="CommentReference">
    <w:name w:val="annotation reference"/>
    <w:rsid w:val="00151A66"/>
    <w:rPr>
      <w:sz w:val="16"/>
      <w:szCs w:val="16"/>
    </w:rPr>
  </w:style>
  <w:style w:type="paragraph" w:styleId="CommentText">
    <w:name w:val="annotation text"/>
    <w:basedOn w:val="Normal"/>
    <w:link w:val="CommentTextChar"/>
    <w:rsid w:val="00151A66"/>
    <w:rPr>
      <w:noProof w:val="0"/>
      <w:sz w:val="20"/>
      <w:szCs w:val="20"/>
      <w:lang w:val="en-US"/>
    </w:rPr>
  </w:style>
  <w:style w:type="character" w:customStyle="1" w:styleId="CommentTextChar">
    <w:name w:val="Comment Text Char"/>
    <w:basedOn w:val="DefaultParagraphFont"/>
    <w:link w:val="CommentText"/>
    <w:rsid w:val="00151A66"/>
    <w:rPr>
      <w:lang w:val="en-US" w:eastAsia="en-US"/>
    </w:rPr>
  </w:style>
  <w:style w:type="character" w:customStyle="1" w:styleId="fontstyle01">
    <w:name w:val="fontstyle01"/>
    <w:basedOn w:val="DefaultParagraphFont"/>
    <w:rsid w:val="0024660E"/>
    <w:rPr>
      <w:rFonts w:ascii="TimesNewRomanPSMT" w:hAnsi="TimesNewRomanPSMT"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F11439"/>
    <w:pPr>
      <w:spacing w:after="160" w:line="240" w:lineRule="exact"/>
    </w:pPr>
    <w:rPr>
      <w:noProof w:val="0"/>
      <w:sz w:val="20"/>
      <w:szCs w:val="20"/>
      <w:vertAlign w:val="superscript"/>
      <w:lang w:eastAsia="vi-VN"/>
    </w:rPr>
  </w:style>
  <w:style w:type="paragraph" w:customStyle="1" w:styleId="CharChar40">
    <w:name w:val="Char Char4"/>
    <w:basedOn w:val="DocumentMap"/>
    <w:autoRedefine/>
    <w:rsid w:val="006E61F3"/>
    <w:pPr>
      <w:widowControl w:val="0"/>
      <w:jc w:val="both"/>
    </w:pPr>
    <w:rPr>
      <w:rFonts w:eastAsia="SimSun"/>
      <w:kern w:val="2"/>
      <w:sz w:val="24"/>
      <w:szCs w:val="24"/>
      <w:lang w:val="en-US" w:eastAsia="zh-CN"/>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uiPriority w:val="99"/>
    <w:qFormat/>
    <w:locked/>
    <w:rsid w:val="001931F3"/>
    <w:rPr>
      <w:lang w:val="en-US" w:eastAsia="en-US"/>
    </w:rPr>
  </w:style>
  <w:style w:type="paragraph" w:styleId="Revision">
    <w:name w:val="Revision"/>
    <w:hidden/>
    <w:uiPriority w:val="99"/>
    <w:semiHidden/>
    <w:rsid w:val="000D2942"/>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9138835">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1980530285">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 w:id="20727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738E-24E7-42FF-93F2-C307642B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10284</Characters>
  <Application>Microsoft Office Word</Application>
  <DocSecurity>0</DocSecurity>
  <Lines>85</Lines>
  <Paragraphs>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Admin</cp:lastModifiedBy>
  <cp:revision>4</cp:revision>
  <cp:lastPrinted>2020-11-27T00:57:00Z</cp:lastPrinted>
  <dcterms:created xsi:type="dcterms:W3CDTF">2021-12-02T07:26:00Z</dcterms:created>
  <dcterms:modified xsi:type="dcterms:W3CDTF">2021-12-02T23:42:00Z</dcterms:modified>
</cp:coreProperties>
</file>