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2E" w:rsidRPr="00EC5F2F" w:rsidRDefault="0039032E" w:rsidP="0039032E">
      <w:pPr>
        <w:spacing w:before="40"/>
        <w:jc w:val="center"/>
        <w:rPr>
          <w:b/>
          <w:szCs w:val="28"/>
        </w:rPr>
      </w:pPr>
      <w:r w:rsidRPr="00EC5F2F">
        <w:rPr>
          <w:b/>
          <w:szCs w:val="28"/>
        </w:rPr>
        <w:t>PHỤ LỤC 01</w:t>
      </w:r>
    </w:p>
    <w:p w:rsidR="007D3FF4" w:rsidRDefault="0039032E" w:rsidP="007D3FF4">
      <w:pPr>
        <w:widowControl w:val="0"/>
        <w:spacing w:before="40"/>
        <w:jc w:val="center"/>
        <w:rPr>
          <w:b/>
          <w:szCs w:val="28"/>
          <w:shd w:val="clear" w:color="auto" w:fill="FFFFFF"/>
        </w:rPr>
      </w:pPr>
      <w:r w:rsidRPr="00EC5F2F">
        <w:rPr>
          <w:b/>
          <w:szCs w:val="28"/>
          <w:lang w:val="nl-NL"/>
        </w:rPr>
        <w:t>THÔNG TIN Đ</w:t>
      </w:r>
      <w:r w:rsidRPr="00EC5F2F">
        <w:rPr>
          <w:b/>
          <w:szCs w:val="28"/>
          <w:lang w:val="pt-BR"/>
        </w:rPr>
        <w:t xml:space="preserve">IỀU CHỈNH CHỦ TRƯƠNG ĐẦU TƯ </w:t>
      </w:r>
      <w:r w:rsidRPr="00EC5F2F">
        <w:rPr>
          <w:b/>
          <w:szCs w:val="28"/>
        </w:rPr>
        <w:t xml:space="preserve">DỰ ÁN </w:t>
      </w:r>
      <w:r w:rsidR="007D3FF4">
        <w:rPr>
          <w:b/>
          <w:szCs w:val="28"/>
          <w:shd w:val="clear" w:color="auto" w:fill="FFFFFF"/>
        </w:rPr>
        <w:t>ĐƯỜNG</w:t>
      </w:r>
    </w:p>
    <w:p w:rsidR="0039032E" w:rsidRPr="00EC5F2F" w:rsidRDefault="0039032E" w:rsidP="007D3FF4">
      <w:pPr>
        <w:widowControl w:val="0"/>
        <w:spacing w:before="40"/>
        <w:jc w:val="center"/>
        <w:rPr>
          <w:b/>
          <w:szCs w:val="28"/>
        </w:rPr>
      </w:pPr>
      <w:r w:rsidRPr="00EC5F2F">
        <w:rPr>
          <w:b/>
          <w:szCs w:val="28"/>
          <w:shd w:val="clear" w:color="auto" w:fill="FFFFFF"/>
        </w:rPr>
        <w:t>GIAO THÔNG KẾT NỐI TỪ ĐƯỜNG HỒ CHÍ MINH ĐI QUỐC LỘ 24</w:t>
      </w:r>
    </w:p>
    <w:p w:rsidR="0039032E" w:rsidRPr="00EC5F2F" w:rsidRDefault="00EC5F2F" w:rsidP="007D3FF4">
      <w:pPr>
        <w:widowControl w:val="0"/>
        <w:spacing w:before="40"/>
        <w:ind w:left="-142" w:right="-427"/>
        <w:jc w:val="center"/>
        <w:rPr>
          <w:szCs w:val="28"/>
        </w:rPr>
      </w:pPr>
      <w:r w:rsidRPr="00EC5F2F">
        <w:rPr>
          <w:i/>
          <w:szCs w:val="28"/>
          <w:lang w:val="pt-BR"/>
        </w:rPr>
        <w:t xml:space="preserve">(Kèm theo Tờ trình </w:t>
      </w:r>
      <w:r w:rsidR="000D162B">
        <w:rPr>
          <w:i/>
          <w:szCs w:val="28"/>
          <w:lang w:val="pt-BR"/>
        </w:rPr>
        <w:t xml:space="preserve">số  </w:t>
      </w:r>
      <w:r w:rsidR="00FA6313">
        <w:rPr>
          <w:i/>
          <w:szCs w:val="28"/>
          <w:lang w:val="pt-BR"/>
        </w:rPr>
        <w:t>104</w:t>
      </w:r>
      <w:r w:rsidR="000D162B">
        <w:rPr>
          <w:i/>
          <w:szCs w:val="28"/>
          <w:lang w:val="pt-BR"/>
        </w:rPr>
        <w:t xml:space="preserve">  </w:t>
      </w:r>
      <w:r w:rsidRPr="00EC5F2F">
        <w:rPr>
          <w:i/>
          <w:szCs w:val="28"/>
          <w:lang w:val="pt-BR"/>
        </w:rPr>
        <w:t xml:space="preserve">/TTr-UBND ngày </w:t>
      </w:r>
      <w:r w:rsidR="00FA6313">
        <w:rPr>
          <w:i/>
          <w:szCs w:val="28"/>
          <w:lang w:val="pt-BR"/>
        </w:rPr>
        <w:t>23</w:t>
      </w:r>
      <w:r w:rsidRPr="00EC5F2F">
        <w:rPr>
          <w:i/>
          <w:szCs w:val="28"/>
          <w:lang w:val="pt-BR"/>
        </w:rPr>
        <w:t xml:space="preserve">  / </w:t>
      </w:r>
      <w:r w:rsidR="00FA6313">
        <w:rPr>
          <w:i/>
          <w:szCs w:val="28"/>
          <w:lang w:val="pt-BR"/>
        </w:rPr>
        <w:t>9</w:t>
      </w:r>
      <w:bookmarkStart w:id="0" w:name="_GoBack"/>
      <w:bookmarkEnd w:id="0"/>
      <w:r w:rsidRPr="00EC5F2F">
        <w:rPr>
          <w:i/>
          <w:szCs w:val="28"/>
          <w:lang w:val="pt-BR"/>
        </w:rPr>
        <w:t xml:space="preserve"> </w:t>
      </w:r>
      <w:r w:rsidR="0039032E" w:rsidRPr="00EC5F2F">
        <w:rPr>
          <w:i/>
          <w:szCs w:val="28"/>
          <w:lang w:val="pt-BR"/>
        </w:rPr>
        <w:t>/2020 của Ủy ban nhân dân tỉnh)</w:t>
      </w:r>
    </w:p>
    <w:p w:rsidR="0039032E" w:rsidRPr="00370310" w:rsidRDefault="0039032E" w:rsidP="0039032E">
      <w:pPr>
        <w:widowControl w:val="0"/>
        <w:ind w:firstLine="567"/>
        <w:jc w:val="both"/>
        <w:rPr>
          <w:sz w:val="16"/>
          <w:szCs w:val="16"/>
          <w:shd w:val="clear" w:color="auto" w:fill="FFFFFF"/>
        </w:rPr>
      </w:pPr>
    </w:p>
    <w:p w:rsidR="0039032E" w:rsidRPr="005828B2" w:rsidRDefault="0039032E" w:rsidP="00DE53F2">
      <w:pPr>
        <w:spacing w:before="120"/>
        <w:ind w:firstLine="567"/>
        <w:rPr>
          <w:b/>
          <w:szCs w:val="28"/>
        </w:rPr>
      </w:pPr>
      <w:r w:rsidRPr="005828B2">
        <w:rPr>
          <w:b/>
          <w:szCs w:val="28"/>
        </w:rPr>
        <w:t>1. Mục tiêu đầu tư:</w:t>
      </w:r>
    </w:p>
    <w:p w:rsidR="0039032E" w:rsidRPr="005828B2" w:rsidRDefault="0039032E" w:rsidP="00DE53F2">
      <w:pPr>
        <w:pStyle w:val="BodyTextIndent2"/>
        <w:widowControl w:val="0"/>
        <w:spacing w:before="120" w:after="0" w:line="240" w:lineRule="auto"/>
        <w:ind w:left="0" w:firstLine="567"/>
        <w:jc w:val="both"/>
        <w:rPr>
          <w:szCs w:val="28"/>
          <w:lang w:val="nl-NL"/>
        </w:rPr>
      </w:pPr>
      <w:r w:rsidRPr="005828B2">
        <w:rPr>
          <w:szCs w:val="28"/>
          <w:lang w:val="nl-NL"/>
        </w:rPr>
        <w:t>- Tạo thành trục không gian chính kết nối đường Hồ Chí Minh với Quốc lộ 24, tạo điều kiện thuận lợi cho việc đi lại và rút ngắn khoảng cách từ tỉnh Gia Lai, Sân bay Plei Ku và các tỉnh phía Nam đi vùng kinh tế động lực phía đông của tỉnh Kon Tum, Khu kinh tế Dung Qu</w:t>
      </w:r>
      <w:r>
        <w:rPr>
          <w:szCs w:val="28"/>
          <w:lang w:val="nl-NL"/>
        </w:rPr>
        <w:t>ất</w:t>
      </w:r>
      <w:r w:rsidRPr="005828B2">
        <w:rPr>
          <w:szCs w:val="28"/>
          <w:lang w:val="nl-NL"/>
        </w:rPr>
        <w:t xml:space="preserve"> và vùng kinh tế trọng điểm Miền Trung; kết nối Khu công nghiệp Hòa Bình, Sao Mai của thành phố Kon Tum với Khu du lịch quốc gia Măng Đen, huyện Kon Plông, thức đẩy phát triển kinh tế - xã hội của tỉnh.</w:t>
      </w:r>
    </w:p>
    <w:p w:rsidR="0039032E" w:rsidRPr="005828B2" w:rsidRDefault="0039032E" w:rsidP="00DE53F2">
      <w:pPr>
        <w:pStyle w:val="BodyTextIndent2"/>
        <w:widowControl w:val="0"/>
        <w:spacing w:before="120" w:after="0" w:line="240" w:lineRule="auto"/>
        <w:ind w:left="0" w:firstLine="567"/>
        <w:jc w:val="both"/>
        <w:rPr>
          <w:szCs w:val="28"/>
          <w:lang w:val="nl-NL"/>
        </w:rPr>
      </w:pPr>
      <w:r w:rsidRPr="005828B2">
        <w:rPr>
          <w:szCs w:val="28"/>
          <w:lang w:val="nl-NL"/>
        </w:rPr>
        <w:t xml:space="preserve">- Phát huy tối đa tính lan tỏa của dự án Dự án Đường giao thông kết nối từ đường Hồ Chí Minh; hoàn thiện cơ sở hạ tầng để đưa các công trình chào mừng Đại hội Đảng </w:t>
      </w:r>
      <w:r>
        <w:rPr>
          <w:szCs w:val="28"/>
          <w:lang w:val="nl-NL"/>
        </w:rPr>
        <w:t>các cấp</w:t>
      </w:r>
      <w:r w:rsidRPr="005828B2">
        <w:rPr>
          <w:szCs w:val="28"/>
          <w:lang w:val="nl-NL"/>
        </w:rPr>
        <w:t xml:space="preserve">. Từng bước hoàn thiện, sử dụng hiệu quả Khu trung tâm hành chính mới của tỉnh, góp phần hoàn chỉnh đồng bộ không gian Khu trung tâm hành chính mới theo quy hoạch đã được phê duyệt, làm tăng tính mỹ quan kiến trúc đô thị trong khu vực; góp phần thúc đẩy phát triển kinh tế - xã hội trên địa bàn thành phố và tỉnh Kon Tum. </w:t>
      </w:r>
    </w:p>
    <w:p w:rsidR="0039032E" w:rsidRPr="005828B2" w:rsidRDefault="0039032E" w:rsidP="00DE53F2">
      <w:pPr>
        <w:spacing w:before="120"/>
        <w:ind w:firstLine="567"/>
        <w:jc w:val="both"/>
        <w:rPr>
          <w:szCs w:val="28"/>
          <w:lang w:val="nl-NL"/>
        </w:rPr>
      </w:pPr>
      <w:r w:rsidRPr="005828B2">
        <w:rPr>
          <w:szCs w:val="28"/>
          <w:lang w:val="nl-NL"/>
        </w:rPr>
        <w:t>- Xây dựng cơ sở hạ tầng khu tái định cư để bố trí tái định cư cho các hộ gia đình bị thu hồi đất ở trong quá trình triển khai công tác bồi thường</w:t>
      </w:r>
      <w:r>
        <w:rPr>
          <w:szCs w:val="28"/>
          <w:lang w:val="nl-NL"/>
        </w:rPr>
        <w:t>,</w:t>
      </w:r>
      <w:r w:rsidRPr="005828B2">
        <w:rPr>
          <w:szCs w:val="28"/>
          <w:lang w:val="nl-NL"/>
        </w:rPr>
        <w:t xml:space="preserve"> giải phóng mặt bằng của dự án và các dự án trọng điểm trên địa bàn thành phố Kon Tum.</w:t>
      </w:r>
    </w:p>
    <w:p w:rsidR="0039032E" w:rsidRPr="005828B2" w:rsidRDefault="0039032E" w:rsidP="00DE53F2">
      <w:pPr>
        <w:spacing w:before="120"/>
        <w:ind w:firstLine="567"/>
        <w:rPr>
          <w:szCs w:val="28"/>
          <w:lang w:val="nl-NL"/>
        </w:rPr>
      </w:pPr>
      <w:r w:rsidRPr="005828B2">
        <w:rPr>
          <w:b/>
          <w:szCs w:val="28"/>
          <w:lang w:val="nl-NL"/>
        </w:rPr>
        <w:t>2. Quy mô đầu tư:</w:t>
      </w:r>
      <w:r w:rsidRPr="005828B2">
        <w:rPr>
          <w:szCs w:val="28"/>
          <w:lang w:val="nl-NL"/>
        </w:rPr>
        <w:t xml:space="preserve"> </w:t>
      </w:r>
    </w:p>
    <w:p w:rsidR="0039032E" w:rsidRPr="00FA6313" w:rsidRDefault="0039032E" w:rsidP="00DE53F2">
      <w:pPr>
        <w:spacing w:before="120"/>
        <w:ind w:firstLine="567"/>
        <w:rPr>
          <w:szCs w:val="28"/>
          <w:lang w:val="nl-NL"/>
        </w:rPr>
      </w:pPr>
      <w:r w:rsidRPr="00FA6313">
        <w:rPr>
          <w:szCs w:val="28"/>
          <w:lang w:val="nl-NL"/>
        </w:rPr>
        <w:t>1. Loại và cấp công trình:</w:t>
      </w:r>
    </w:p>
    <w:p w:rsidR="0039032E" w:rsidRPr="00FA6313" w:rsidRDefault="0039032E" w:rsidP="00DE53F2">
      <w:pPr>
        <w:spacing w:before="120"/>
        <w:ind w:firstLine="567"/>
        <w:jc w:val="both"/>
        <w:rPr>
          <w:szCs w:val="28"/>
          <w:lang w:val="nl-NL"/>
        </w:rPr>
      </w:pPr>
      <w:r w:rsidRPr="00FA6313">
        <w:rPr>
          <w:szCs w:val="28"/>
          <w:lang w:val="nl-NL"/>
        </w:rPr>
        <w:t>- Cấp công trình: Cấp III</w:t>
      </w:r>
    </w:p>
    <w:p w:rsidR="0039032E" w:rsidRPr="00FA6313" w:rsidRDefault="0039032E" w:rsidP="00DE53F2">
      <w:pPr>
        <w:spacing w:before="120"/>
        <w:ind w:firstLine="567"/>
        <w:jc w:val="both"/>
        <w:rPr>
          <w:szCs w:val="28"/>
          <w:lang w:val="nl-NL"/>
        </w:rPr>
      </w:pPr>
      <w:r w:rsidRPr="00FA6313">
        <w:rPr>
          <w:szCs w:val="28"/>
          <w:lang w:val="nl-NL"/>
        </w:rPr>
        <w:t>- Cấp đường: Cấp đô thị và khu vực.</w:t>
      </w:r>
    </w:p>
    <w:p w:rsidR="0039032E" w:rsidRPr="005828B2" w:rsidRDefault="0039032E" w:rsidP="00DE53F2">
      <w:pPr>
        <w:spacing w:before="120"/>
        <w:ind w:firstLine="567"/>
        <w:jc w:val="both"/>
        <w:rPr>
          <w:szCs w:val="28"/>
        </w:rPr>
      </w:pPr>
      <w:r w:rsidRPr="005828B2">
        <w:rPr>
          <w:szCs w:val="28"/>
        </w:rPr>
        <w:t>2. Tổng chiều dài: khoảng 11.834</w:t>
      </w:r>
      <w:proofErr w:type="gramStart"/>
      <w:r w:rsidRPr="005828B2">
        <w:rPr>
          <w:szCs w:val="28"/>
        </w:rPr>
        <w:t>,63m</w:t>
      </w:r>
      <w:proofErr w:type="gramEnd"/>
      <w:r w:rsidRPr="005828B2">
        <w:rPr>
          <w:szCs w:val="28"/>
        </w:rPr>
        <w:t>.</w:t>
      </w:r>
    </w:p>
    <w:p w:rsidR="0039032E" w:rsidRPr="005828B2" w:rsidRDefault="0039032E" w:rsidP="00DE53F2">
      <w:pPr>
        <w:spacing w:before="120"/>
        <w:ind w:firstLine="567"/>
        <w:jc w:val="both"/>
        <w:rPr>
          <w:szCs w:val="28"/>
        </w:rPr>
      </w:pPr>
      <w:r w:rsidRPr="005828B2">
        <w:rPr>
          <w:szCs w:val="28"/>
        </w:rPr>
        <w:t>- Bề rộng nền đường: Bn = (24-27</w:t>
      </w:r>
      <w:proofErr w:type="gramStart"/>
      <w:r w:rsidRPr="005828B2">
        <w:rPr>
          <w:szCs w:val="28"/>
        </w:rPr>
        <w:t>)m</w:t>
      </w:r>
      <w:proofErr w:type="gramEnd"/>
      <w:r w:rsidRPr="005828B2">
        <w:rPr>
          <w:szCs w:val="28"/>
        </w:rPr>
        <w:t xml:space="preserve">, </w:t>
      </w:r>
    </w:p>
    <w:p w:rsidR="0039032E" w:rsidRPr="005828B2" w:rsidRDefault="0039032E" w:rsidP="00DE53F2">
      <w:pPr>
        <w:spacing w:before="120"/>
        <w:ind w:firstLine="567"/>
        <w:jc w:val="both"/>
        <w:rPr>
          <w:szCs w:val="28"/>
        </w:rPr>
      </w:pPr>
      <w:r w:rsidRPr="005828B2">
        <w:rPr>
          <w:szCs w:val="28"/>
        </w:rPr>
        <w:t>- Kết cấu mặt đường: Bê tông nhựa trên lớp móng cấp phối đá dăm.</w:t>
      </w:r>
    </w:p>
    <w:p w:rsidR="0039032E" w:rsidRPr="005828B2" w:rsidRDefault="0039032E" w:rsidP="00DE53F2">
      <w:pPr>
        <w:spacing w:before="120"/>
        <w:ind w:firstLine="567"/>
        <w:jc w:val="both"/>
        <w:rPr>
          <w:szCs w:val="28"/>
        </w:rPr>
      </w:pPr>
      <w:r w:rsidRPr="005828B2">
        <w:rPr>
          <w:szCs w:val="28"/>
        </w:rPr>
        <w:t>- Độ dốc ngang mặt đường: Im = 2%, vỉa hè: Ivh = 2%.</w:t>
      </w:r>
    </w:p>
    <w:p w:rsidR="0039032E" w:rsidRPr="005828B2" w:rsidRDefault="0039032E" w:rsidP="00DE53F2">
      <w:pPr>
        <w:spacing w:before="120"/>
        <w:ind w:firstLine="567"/>
        <w:jc w:val="both"/>
        <w:rPr>
          <w:szCs w:val="28"/>
        </w:rPr>
      </w:pPr>
      <w:r w:rsidRPr="005828B2">
        <w:rPr>
          <w:szCs w:val="28"/>
        </w:rPr>
        <w:t xml:space="preserve">- Tải trọng thiết kế nền, mặt đường: Trục </w:t>
      </w:r>
      <w:proofErr w:type="gramStart"/>
      <w:r w:rsidRPr="005828B2">
        <w:rPr>
          <w:szCs w:val="28"/>
        </w:rPr>
        <w:t>xe</w:t>
      </w:r>
      <w:proofErr w:type="gramEnd"/>
      <w:r w:rsidRPr="005828B2">
        <w:rPr>
          <w:szCs w:val="28"/>
        </w:rPr>
        <w:t xml:space="preserve"> 10T.</w:t>
      </w:r>
    </w:p>
    <w:p w:rsidR="0039032E" w:rsidRPr="005828B2" w:rsidRDefault="0039032E" w:rsidP="00DE53F2">
      <w:pPr>
        <w:spacing w:before="120"/>
        <w:ind w:firstLine="567"/>
        <w:jc w:val="both"/>
        <w:rPr>
          <w:szCs w:val="28"/>
        </w:rPr>
      </w:pPr>
      <w:r w:rsidRPr="005828B2">
        <w:rPr>
          <w:szCs w:val="28"/>
        </w:rPr>
        <w:t>- Tải trọng thiết kế vỉa hè và cống dọc: 0,4T/m2.</w:t>
      </w:r>
    </w:p>
    <w:p w:rsidR="0039032E" w:rsidRPr="005828B2" w:rsidRDefault="0039032E" w:rsidP="00DE53F2">
      <w:pPr>
        <w:spacing w:before="120"/>
        <w:ind w:firstLine="567"/>
        <w:jc w:val="both"/>
        <w:rPr>
          <w:szCs w:val="28"/>
        </w:rPr>
      </w:pPr>
      <w:proofErr w:type="gramStart"/>
      <w:r w:rsidRPr="005828B2">
        <w:rPr>
          <w:szCs w:val="28"/>
        </w:rPr>
        <w:t>- An</w:t>
      </w:r>
      <w:proofErr w:type="gramEnd"/>
      <w:r w:rsidRPr="005828B2">
        <w:rPr>
          <w:szCs w:val="28"/>
        </w:rPr>
        <w:t xml:space="preserve"> toàn giao thông: Biển báo các loại kết cấu bằng thép sơn phản quang, vạch sơn các loại sơn phản quang.</w:t>
      </w:r>
    </w:p>
    <w:p w:rsidR="0039032E" w:rsidRPr="005828B2" w:rsidRDefault="0039032E" w:rsidP="00DE53F2">
      <w:pPr>
        <w:spacing w:before="120"/>
        <w:ind w:firstLine="567"/>
        <w:jc w:val="both"/>
        <w:rPr>
          <w:szCs w:val="28"/>
        </w:rPr>
      </w:pPr>
      <w:r w:rsidRPr="005828B2">
        <w:rPr>
          <w:szCs w:val="28"/>
        </w:rPr>
        <w:lastRenderedPageBreak/>
        <w:t xml:space="preserve">- Chiếu sáng: Đèn chiếu sáng bố trí dọc </w:t>
      </w:r>
      <w:proofErr w:type="gramStart"/>
      <w:r w:rsidRPr="005828B2">
        <w:rPr>
          <w:szCs w:val="28"/>
        </w:rPr>
        <w:t>theo</w:t>
      </w:r>
      <w:proofErr w:type="gramEnd"/>
      <w:r w:rsidRPr="005828B2">
        <w:rPr>
          <w:szCs w:val="28"/>
        </w:rPr>
        <w:t xml:space="preserve"> vỉa hè và đèn trang trí bố trí dọc theo giải phân cách.</w:t>
      </w:r>
    </w:p>
    <w:p w:rsidR="0039032E" w:rsidRPr="005828B2" w:rsidRDefault="0039032E" w:rsidP="00DE53F2">
      <w:pPr>
        <w:spacing w:before="120"/>
        <w:ind w:firstLine="567"/>
        <w:jc w:val="both"/>
        <w:rPr>
          <w:szCs w:val="28"/>
        </w:rPr>
      </w:pPr>
      <w:r w:rsidRPr="005828B2">
        <w:rPr>
          <w:szCs w:val="28"/>
        </w:rPr>
        <w:t>- Công trình thoát nước ngang: Cống tròn hoặc cống hộp các loại phụ thuộc vào lưu lượng thoát nước; khổ cống bằng khổ nền đường; tải trọng thiết kế công trình thoát nước ngang: H30-HK80; kết cấu bê tông và bê tông cốt thép.</w:t>
      </w:r>
    </w:p>
    <w:p w:rsidR="0039032E" w:rsidRPr="005828B2" w:rsidRDefault="0039032E" w:rsidP="00DE53F2">
      <w:pPr>
        <w:spacing w:before="120"/>
        <w:ind w:firstLine="567"/>
        <w:jc w:val="both"/>
        <w:rPr>
          <w:szCs w:val="28"/>
        </w:rPr>
      </w:pPr>
      <w:r w:rsidRPr="005828B2">
        <w:rPr>
          <w:szCs w:val="28"/>
        </w:rPr>
        <w:t>- Cầu: Tải trọng HL-93 (theo Tiêu chuẩn thiết kế cầu 22TCN 272-05); tải trọng đoàn người đi bộ trên lề bộ hành: 300 kg/m2; tải trọng động đất cấp V (TCXD 375-2006); tần suất thiết kế: P=1%; giải pháp thiết kế mặt cắt ngang cầu: Khổ cầu K=22m; giải pháp thiết kế sơ đồ nhịp: 06 nhịp; tổng chiều dài cầu L=305,1m.</w:t>
      </w:r>
    </w:p>
    <w:p w:rsidR="0039032E" w:rsidRPr="005828B2" w:rsidRDefault="0039032E" w:rsidP="00DE53F2">
      <w:pPr>
        <w:spacing w:before="120"/>
        <w:ind w:firstLine="567"/>
        <w:jc w:val="both"/>
        <w:rPr>
          <w:szCs w:val="28"/>
        </w:rPr>
      </w:pPr>
      <w:r w:rsidRPr="005828B2">
        <w:rPr>
          <w:szCs w:val="28"/>
        </w:rPr>
        <w:t>- Các công trình hạ tầng kỹ thuật (thoát nước dọc, hào kỹ thuật, bó vỉa vỉa hè, hố trồng cây...): Bằng bê tông và bê tông cốt thép.</w:t>
      </w:r>
    </w:p>
    <w:p w:rsidR="0039032E" w:rsidRPr="005828B2" w:rsidRDefault="0039032E" w:rsidP="00DE53F2">
      <w:pPr>
        <w:spacing w:before="120"/>
        <w:ind w:firstLine="567"/>
        <w:jc w:val="both"/>
        <w:rPr>
          <w:szCs w:val="28"/>
        </w:rPr>
      </w:pPr>
      <w:r w:rsidRPr="005828B2">
        <w:rPr>
          <w:szCs w:val="28"/>
        </w:rPr>
        <w:t>- Đầu tư cơ sở hạ tầng khu tái định cư: Vị trí 02 (giai đoạn 1) tại xã Chư Hreng (diện tích 5,33ha): San nền 2,4ha; hệ thống điện sinh hoạt, điện chiếu sáng công lộ; các tuyến đường giao thông với tổng chiều dài khoảng 969,58m, tổng mức đầu tư khoảng 13,835 tỷ đồng.</w:t>
      </w:r>
    </w:p>
    <w:p w:rsidR="0039032E" w:rsidRPr="00AB5406" w:rsidRDefault="0039032E" w:rsidP="00DE53F2">
      <w:pPr>
        <w:spacing w:before="120"/>
        <w:ind w:firstLine="567"/>
        <w:jc w:val="both"/>
        <w:rPr>
          <w:szCs w:val="28"/>
        </w:rPr>
      </w:pPr>
      <w:r w:rsidRPr="005828B2">
        <w:rPr>
          <w:szCs w:val="28"/>
        </w:rPr>
        <w:t xml:space="preserve">- Đầu tư sân vườn, đường nội bộ, quảng trường thuộc Khu Trung tâm hành chính mới của </w:t>
      </w:r>
      <w:proofErr w:type="gramStart"/>
      <w:r w:rsidRPr="005828B2">
        <w:rPr>
          <w:szCs w:val="28"/>
        </w:rPr>
        <w:t>tỉnh</w:t>
      </w:r>
      <w:r w:rsidRPr="005C648D">
        <w:rPr>
          <w:szCs w:val="28"/>
          <w:vertAlign w:val="superscript"/>
        </w:rPr>
        <w:t>(</w:t>
      </w:r>
      <w:proofErr w:type="gramEnd"/>
      <w:r w:rsidRPr="005C648D">
        <w:rPr>
          <w:rStyle w:val="FootnoteReference"/>
          <w:szCs w:val="28"/>
        </w:rPr>
        <w:footnoteReference w:id="1"/>
      </w:r>
      <w:r w:rsidRPr="005C648D">
        <w:rPr>
          <w:szCs w:val="28"/>
          <w:vertAlign w:val="superscript"/>
        </w:rPr>
        <w:t>)</w:t>
      </w:r>
      <w:r w:rsidRPr="005828B2">
        <w:rPr>
          <w:szCs w:val="28"/>
        </w:rPr>
        <w:t xml:space="preserve">: San nền toàn bộ khu đất xây dựng công trình trên diện tích khoảng 48.500 m2; xây dựng hệ thống sân đường nội bộ, vườn hoa, cây xanh đồng bộ </w:t>
      </w:r>
      <w:r w:rsidRPr="00AB5406">
        <w:rPr>
          <w:szCs w:val="28"/>
        </w:rPr>
        <w:t>trong Quảng trường Khu trung tâm hành chính mới của tỉnh, giá trị khoảng 46 tỷ đồng.</w:t>
      </w:r>
    </w:p>
    <w:p w:rsidR="0039032E" w:rsidRPr="005828B2" w:rsidRDefault="0039032E" w:rsidP="00DE53F2">
      <w:pPr>
        <w:spacing w:before="120"/>
        <w:ind w:firstLine="567"/>
        <w:jc w:val="both"/>
        <w:rPr>
          <w:szCs w:val="28"/>
        </w:rPr>
      </w:pPr>
      <w:r w:rsidRPr="00AB5406">
        <w:rPr>
          <w:szCs w:val="28"/>
        </w:rPr>
        <w:t xml:space="preserve">- Đầu </w:t>
      </w:r>
      <w:r w:rsidRPr="0021679B">
        <w:rPr>
          <w:szCs w:val="28"/>
        </w:rPr>
        <w:t xml:space="preserve">tư </w:t>
      </w:r>
      <w:r w:rsidRPr="0021679B">
        <w:rPr>
          <w:szCs w:val="28"/>
          <w:lang w:val="nl-NL"/>
        </w:rPr>
        <w:t>01 khối nhà ở tái định cư</w:t>
      </w:r>
      <w:r w:rsidRPr="00AB5406">
        <w:rPr>
          <w:szCs w:val="28"/>
          <w:lang w:val="nl-NL"/>
        </w:rPr>
        <w:t xml:space="preserve"> </w:t>
      </w:r>
      <w:r w:rsidRPr="00AB5406">
        <w:rPr>
          <w:szCs w:val="28"/>
        </w:rPr>
        <w:t>(đang thực hiện tại dự án Nhà ở xã hội - Nhà ở tái định</w:t>
      </w:r>
      <w:r w:rsidRPr="005828B2">
        <w:rPr>
          <w:szCs w:val="28"/>
        </w:rPr>
        <w:t xml:space="preserve"> </w:t>
      </w:r>
      <w:proofErr w:type="gramStart"/>
      <w:r w:rsidRPr="005828B2">
        <w:rPr>
          <w:szCs w:val="28"/>
        </w:rPr>
        <w:t>cư</w:t>
      </w:r>
      <w:r w:rsidRPr="005C648D">
        <w:rPr>
          <w:szCs w:val="28"/>
          <w:vertAlign w:val="superscript"/>
        </w:rPr>
        <w:t>(</w:t>
      </w:r>
      <w:proofErr w:type="gramEnd"/>
      <w:r w:rsidRPr="005C648D">
        <w:rPr>
          <w:rStyle w:val="FootnoteReference"/>
          <w:szCs w:val="28"/>
        </w:rPr>
        <w:footnoteReference w:id="2"/>
      </w:r>
      <w:r w:rsidRPr="005C648D">
        <w:rPr>
          <w:szCs w:val="28"/>
          <w:vertAlign w:val="superscript"/>
        </w:rPr>
        <w:t>)</w:t>
      </w:r>
      <w:r>
        <w:rPr>
          <w:szCs w:val="28"/>
        </w:rPr>
        <w:t>)</w:t>
      </w:r>
      <w:r w:rsidRPr="005828B2">
        <w:rPr>
          <w:szCs w:val="28"/>
        </w:rPr>
        <w:t xml:space="preserve">: Diện tích sàn 8.856,5m2, 09 tầng và các hạng mục phụ trợ; giá trị khoảng 52,7 tỷ đồng. </w:t>
      </w:r>
    </w:p>
    <w:p w:rsidR="0039032E" w:rsidRPr="005828B2" w:rsidRDefault="0039032E" w:rsidP="00DE53F2">
      <w:pPr>
        <w:spacing w:before="120"/>
        <w:ind w:firstLine="567"/>
        <w:jc w:val="both"/>
        <w:rPr>
          <w:szCs w:val="28"/>
        </w:rPr>
      </w:pPr>
      <w:r w:rsidRPr="005828B2">
        <w:rPr>
          <w:szCs w:val="28"/>
        </w:rPr>
        <w:t xml:space="preserve">- </w:t>
      </w:r>
      <w:r>
        <w:rPr>
          <w:szCs w:val="28"/>
        </w:rPr>
        <w:t>Chi phí bồi thường, g</w:t>
      </w:r>
      <w:r w:rsidRPr="005828B2">
        <w:rPr>
          <w:szCs w:val="28"/>
        </w:rPr>
        <w:t>iải phóng mặt bằng giai đoạn 1 đã thực hiện tại dự án Trụ sở làm việc các sở ban ngành thuộc khối Văn hóa xã hội</w:t>
      </w:r>
      <w:r w:rsidRPr="005C648D">
        <w:rPr>
          <w:szCs w:val="28"/>
          <w:vertAlign w:val="superscript"/>
        </w:rPr>
        <w:t>(</w:t>
      </w:r>
      <w:r w:rsidRPr="005C648D">
        <w:rPr>
          <w:rStyle w:val="FootnoteReference"/>
          <w:szCs w:val="28"/>
        </w:rPr>
        <w:footnoteReference w:id="3"/>
      </w:r>
      <w:r w:rsidRPr="005C648D">
        <w:rPr>
          <w:szCs w:val="28"/>
          <w:vertAlign w:val="superscript"/>
        </w:rPr>
        <w:t>)</w:t>
      </w:r>
      <w:r w:rsidRPr="005828B2">
        <w:rPr>
          <w:szCs w:val="28"/>
        </w:rPr>
        <w:t>, giá trị khoảng 13,825 tỷ đồng.</w:t>
      </w:r>
    </w:p>
    <w:p w:rsidR="0039032E" w:rsidRPr="005828B2" w:rsidRDefault="0039032E" w:rsidP="00DE53F2">
      <w:pPr>
        <w:spacing w:before="120"/>
        <w:ind w:firstLine="567"/>
        <w:jc w:val="both"/>
        <w:rPr>
          <w:szCs w:val="28"/>
        </w:rPr>
      </w:pPr>
      <w:r w:rsidRPr="005828B2">
        <w:rPr>
          <w:b/>
          <w:szCs w:val="28"/>
        </w:rPr>
        <w:t>3. Thời gian thực hiện</w:t>
      </w:r>
      <w:r w:rsidRPr="005828B2">
        <w:rPr>
          <w:szCs w:val="28"/>
        </w:rPr>
        <w:t>: Giai đoạn 2017-2021.</w:t>
      </w:r>
    </w:p>
    <w:p w:rsidR="0039032E" w:rsidRPr="005828B2" w:rsidRDefault="0039032E" w:rsidP="00DE53F2">
      <w:pPr>
        <w:spacing w:before="120"/>
        <w:ind w:firstLine="567"/>
        <w:jc w:val="both"/>
        <w:rPr>
          <w:b/>
          <w:szCs w:val="28"/>
        </w:rPr>
      </w:pPr>
      <w:r w:rsidRPr="005828B2">
        <w:rPr>
          <w:b/>
          <w:szCs w:val="28"/>
        </w:rPr>
        <w:t xml:space="preserve">4. </w:t>
      </w:r>
      <w:r w:rsidRPr="005828B2">
        <w:rPr>
          <w:szCs w:val="28"/>
        </w:rPr>
        <w:t>Các nội dung khác giữ nguyên như Thông báo số 14/TB-HĐND ngày 29/3/2017 và Thông báo số</w:t>
      </w:r>
      <w:r>
        <w:rPr>
          <w:szCs w:val="28"/>
        </w:rPr>
        <w:t xml:space="preserve"> 34/TB-HĐND ngày 09/7/2018 của Thường trự</w:t>
      </w:r>
      <w:r w:rsidRPr="005828B2">
        <w:rPr>
          <w:szCs w:val="28"/>
        </w:rPr>
        <w:t>c Hội đồng nhân dân tỉnh</w:t>
      </w:r>
      <w:proofErr w:type="gramStart"/>
      <w:r w:rsidRPr="005828B2">
        <w:rPr>
          <w:szCs w:val="28"/>
        </w:rPr>
        <w:t>.</w:t>
      </w:r>
      <w:r w:rsidR="00DE53F2">
        <w:rPr>
          <w:szCs w:val="28"/>
        </w:rPr>
        <w:t>/</w:t>
      </w:r>
      <w:proofErr w:type="gramEnd"/>
      <w:r w:rsidR="00DE53F2">
        <w:rPr>
          <w:szCs w:val="28"/>
        </w:rPr>
        <w:t>.</w:t>
      </w:r>
    </w:p>
    <w:p w:rsidR="0039032E" w:rsidRDefault="0039032E" w:rsidP="0039032E">
      <w:pPr>
        <w:spacing w:before="40"/>
        <w:jc w:val="center"/>
        <w:rPr>
          <w:b/>
        </w:rPr>
      </w:pPr>
    </w:p>
    <w:p w:rsidR="0039032E" w:rsidRPr="00734DE1" w:rsidRDefault="0039032E" w:rsidP="0039032E">
      <w:pPr>
        <w:spacing w:before="40"/>
        <w:jc w:val="center"/>
        <w:rPr>
          <w:b/>
        </w:rPr>
      </w:pPr>
      <w:r>
        <w:rPr>
          <w:b/>
        </w:rPr>
        <w:t>---------------------</w:t>
      </w:r>
      <w:r w:rsidRPr="005828B2">
        <w:rPr>
          <w:b/>
        </w:rPr>
        <w:br w:type="page"/>
      </w:r>
      <w:r w:rsidRPr="00734DE1">
        <w:rPr>
          <w:b/>
        </w:rPr>
        <w:lastRenderedPageBreak/>
        <w:t xml:space="preserve">PHỤ LỤC </w:t>
      </w:r>
      <w:r>
        <w:rPr>
          <w:b/>
        </w:rPr>
        <w:t>02</w:t>
      </w:r>
    </w:p>
    <w:p w:rsidR="0039032E" w:rsidRPr="007D3FF4" w:rsidRDefault="0039032E" w:rsidP="00DE53F2">
      <w:pPr>
        <w:widowControl w:val="0"/>
        <w:spacing w:before="40"/>
        <w:jc w:val="center"/>
        <w:rPr>
          <w:b/>
          <w:szCs w:val="28"/>
        </w:rPr>
      </w:pPr>
      <w:r>
        <w:rPr>
          <w:b/>
          <w:szCs w:val="28"/>
          <w:lang w:val="nl-NL"/>
        </w:rPr>
        <w:t>THÔNG TIN Đ</w:t>
      </w:r>
      <w:r w:rsidRPr="00DC6A8B">
        <w:rPr>
          <w:b/>
          <w:szCs w:val="28"/>
          <w:lang w:val="pt-BR"/>
        </w:rPr>
        <w:t xml:space="preserve">IỀU CHỈNH </w:t>
      </w:r>
      <w:r>
        <w:rPr>
          <w:b/>
          <w:szCs w:val="28"/>
          <w:lang w:val="pt-BR"/>
        </w:rPr>
        <w:t xml:space="preserve">CHỦ TRƯƠNG ĐẦU TƯ </w:t>
      </w:r>
      <w:r w:rsidRPr="00E32730">
        <w:rPr>
          <w:b/>
          <w:szCs w:val="28"/>
        </w:rPr>
        <w:t>DỰ</w:t>
      </w:r>
      <w:r w:rsidRPr="006D688F">
        <w:rPr>
          <w:b/>
          <w:szCs w:val="28"/>
        </w:rPr>
        <w:t xml:space="preserve"> ÁN TRỤ SỞ LÀM VIỆC CÁC SỞ BAN NGÀNH THUỘC KHỐI VĂN HÓA XÃ HỘI</w:t>
      </w:r>
    </w:p>
    <w:p w:rsidR="0039032E" w:rsidRDefault="0039032E" w:rsidP="00DE53F2">
      <w:pPr>
        <w:widowControl w:val="0"/>
        <w:spacing w:before="40"/>
        <w:jc w:val="center"/>
        <w:rPr>
          <w:i/>
          <w:szCs w:val="28"/>
          <w:lang w:val="pt-BR"/>
        </w:rPr>
      </w:pPr>
      <w:r w:rsidRPr="0031579C">
        <w:rPr>
          <w:i/>
          <w:szCs w:val="28"/>
          <w:lang w:val="pt-BR"/>
        </w:rPr>
        <w:t xml:space="preserve">(Kèm theo Tờ trình số </w:t>
      </w:r>
      <w:r w:rsidR="007D3FF4">
        <w:rPr>
          <w:i/>
          <w:szCs w:val="28"/>
          <w:lang w:val="pt-BR"/>
        </w:rPr>
        <w:t xml:space="preserve">    /TTr-UBND ngày   /</w:t>
      </w:r>
      <w:r w:rsidR="000F3CB8">
        <w:rPr>
          <w:i/>
          <w:szCs w:val="28"/>
          <w:lang w:val="pt-BR"/>
        </w:rPr>
        <w:t>9</w:t>
      </w:r>
      <w:r w:rsidRPr="0031579C">
        <w:rPr>
          <w:i/>
          <w:szCs w:val="28"/>
          <w:lang w:val="pt-BR"/>
        </w:rPr>
        <w:t>/2020 của Ủy ban nhân dân tỉnh)</w:t>
      </w:r>
    </w:p>
    <w:p w:rsidR="0039032E" w:rsidRDefault="0039032E" w:rsidP="0039032E">
      <w:pPr>
        <w:widowControl w:val="0"/>
        <w:spacing w:before="40"/>
        <w:ind w:left="-142" w:right="-427"/>
        <w:jc w:val="center"/>
        <w:rPr>
          <w:i/>
          <w:szCs w:val="28"/>
          <w:lang w:val="pt-BR"/>
        </w:rPr>
      </w:pPr>
    </w:p>
    <w:p w:rsidR="0039032E" w:rsidRDefault="0039032E" w:rsidP="0039032E">
      <w:pPr>
        <w:widowControl w:val="0"/>
        <w:spacing w:before="40"/>
        <w:ind w:left="-142" w:right="-427"/>
        <w:jc w:val="center"/>
        <w:rPr>
          <w:i/>
          <w:szCs w:val="28"/>
          <w:lang w:val="pt-BR"/>
        </w:rPr>
      </w:pPr>
    </w:p>
    <w:p w:rsidR="0039032E" w:rsidRPr="00FA6313" w:rsidRDefault="0039032E" w:rsidP="00DE53F2">
      <w:pPr>
        <w:widowControl w:val="0"/>
        <w:spacing w:before="120"/>
        <w:ind w:firstLine="567"/>
        <w:jc w:val="both"/>
        <w:rPr>
          <w:szCs w:val="28"/>
          <w:lang w:val="pt-BR"/>
        </w:rPr>
      </w:pPr>
      <w:r w:rsidRPr="00FA6313">
        <w:rPr>
          <w:szCs w:val="28"/>
          <w:lang w:val="pt-BR"/>
        </w:rPr>
        <w:t>1. Tổng mức đầu tư: 151,743 tỷ đồng</w:t>
      </w:r>
    </w:p>
    <w:p w:rsidR="0039032E" w:rsidRPr="00FA6313" w:rsidRDefault="0039032E" w:rsidP="00DE53F2">
      <w:pPr>
        <w:widowControl w:val="0"/>
        <w:spacing w:before="120"/>
        <w:ind w:firstLine="567"/>
        <w:jc w:val="both"/>
        <w:rPr>
          <w:szCs w:val="28"/>
          <w:lang w:val="pt-BR"/>
        </w:rPr>
      </w:pPr>
      <w:r w:rsidRPr="00FA6313">
        <w:rPr>
          <w:szCs w:val="28"/>
          <w:lang w:val="pt-BR"/>
        </w:rPr>
        <w:t xml:space="preserve">2. Cơ cấu nguồn vốn: </w:t>
      </w:r>
    </w:p>
    <w:p w:rsidR="0039032E" w:rsidRPr="00FA6313" w:rsidRDefault="0039032E" w:rsidP="00DE53F2">
      <w:pPr>
        <w:widowControl w:val="0"/>
        <w:spacing w:before="120"/>
        <w:ind w:firstLine="567"/>
        <w:jc w:val="both"/>
        <w:rPr>
          <w:szCs w:val="28"/>
          <w:lang w:val="pt-BR"/>
        </w:rPr>
      </w:pPr>
      <w:r w:rsidRPr="00FA6313">
        <w:rPr>
          <w:szCs w:val="28"/>
          <w:lang w:val="pt-BR"/>
        </w:rPr>
        <w:t>- Nguồn bán đấu giá quyền sử dụng đất, tài sản trên đất các trụ sở cũ: 88,75 tỷ đồng.</w:t>
      </w:r>
    </w:p>
    <w:p w:rsidR="0039032E" w:rsidRPr="00FA6313" w:rsidRDefault="0039032E" w:rsidP="00DE53F2">
      <w:pPr>
        <w:widowControl w:val="0"/>
        <w:spacing w:before="120"/>
        <w:ind w:firstLine="567"/>
        <w:jc w:val="both"/>
        <w:rPr>
          <w:szCs w:val="28"/>
          <w:lang w:val="pt-BR"/>
        </w:rPr>
      </w:pPr>
      <w:r w:rsidRPr="00FA6313">
        <w:rPr>
          <w:szCs w:val="28"/>
          <w:lang w:val="pt-BR"/>
        </w:rPr>
        <w:t>- Nguồn thu tiền đấu giá quyền sử dụng đất và các nguồn hợp pháp khác là 62,993 tỷ đồng.</w:t>
      </w:r>
    </w:p>
    <w:p w:rsidR="0039032E" w:rsidRPr="00FA6313" w:rsidRDefault="0039032E" w:rsidP="00DE53F2">
      <w:pPr>
        <w:spacing w:before="120"/>
        <w:ind w:firstLine="567"/>
        <w:jc w:val="both"/>
        <w:rPr>
          <w:szCs w:val="28"/>
          <w:lang w:val="pt-BR"/>
        </w:rPr>
      </w:pPr>
      <w:r w:rsidRPr="00FA6313">
        <w:rPr>
          <w:szCs w:val="28"/>
          <w:lang w:val="pt-BR"/>
        </w:rPr>
        <w:t>3. Các nội dung khác giữ nguyên theo Thông báo số 22/TB-HĐND ngày 13/4/2018, Thông báo số 41/TB-HĐND ngày 28/10/2015 của Thường trực Hội đồng nhân dân tỉnh và Nghị quyết số 07/NQ-HĐND ngày 06/5/2016 của Hội đồng nhân dân tỉnh.</w:t>
      </w:r>
    </w:p>
    <w:p w:rsidR="0039032E" w:rsidRPr="00FA6313" w:rsidRDefault="0039032E" w:rsidP="00FB6618">
      <w:pPr>
        <w:spacing w:before="40"/>
        <w:jc w:val="center"/>
        <w:rPr>
          <w:b/>
          <w:lang w:val="pt-BR"/>
        </w:rPr>
      </w:pPr>
      <w:r w:rsidRPr="00FA6313">
        <w:rPr>
          <w:szCs w:val="28"/>
          <w:lang w:val="pt-BR"/>
        </w:rPr>
        <w:t>---------------------</w:t>
      </w:r>
      <w:r w:rsidRPr="00FA6313">
        <w:rPr>
          <w:szCs w:val="28"/>
          <w:lang w:val="pt-BR"/>
        </w:rPr>
        <w:br w:type="page"/>
      </w:r>
      <w:r w:rsidRPr="00FA6313">
        <w:rPr>
          <w:b/>
          <w:lang w:val="pt-BR"/>
        </w:rPr>
        <w:lastRenderedPageBreak/>
        <w:t>PHỤ LỤC 03</w:t>
      </w:r>
    </w:p>
    <w:p w:rsidR="0039032E" w:rsidRDefault="0039032E" w:rsidP="00FB6618">
      <w:pPr>
        <w:widowControl w:val="0"/>
        <w:spacing w:before="40"/>
        <w:jc w:val="center"/>
        <w:rPr>
          <w:b/>
          <w:szCs w:val="28"/>
          <w:lang w:val="pt-BR"/>
        </w:rPr>
      </w:pPr>
      <w:r>
        <w:rPr>
          <w:b/>
          <w:szCs w:val="28"/>
          <w:lang w:val="nl-NL"/>
        </w:rPr>
        <w:t>THÔNG TIN Đ</w:t>
      </w:r>
      <w:r w:rsidRPr="00DC6A8B">
        <w:rPr>
          <w:b/>
          <w:szCs w:val="28"/>
          <w:lang w:val="pt-BR"/>
        </w:rPr>
        <w:t xml:space="preserve">IỀU CHỈNH </w:t>
      </w:r>
      <w:r>
        <w:rPr>
          <w:b/>
          <w:szCs w:val="28"/>
          <w:lang w:val="pt-BR"/>
        </w:rPr>
        <w:t xml:space="preserve">CHỦ TRƯƠNG ĐẦU TƯ </w:t>
      </w:r>
    </w:p>
    <w:p w:rsidR="0039032E" w:rsidRDefault="0039032E" w:rsidP="00FB6618">
      <w:pPr>
        <w:widowControl w:val="0"/>
        <w:spacing w:before="40"/>
        <w:jc w:val="center"/>
        <w:rPr>
          <w:b/>
          <w:szCs w:val="28"/>
          <w:lang w:val="pt-BR"/>
        </w:rPr>
      </w:pPr>
      <w:r w:rsidRPr="00FA6313">
        <w:rPr>
          <w:b/>
          <w:szCs w:val="28"/>
          <w:lang w:val="pt-BR"/>
        </w:rPr>
        <w:t xml:space="preserve">DỰ ÁN </w:t>
      </w:r>
      <w:r w:rsidRPr="00FA6313">
        <w:rPr>
          <w:b/>
          <w:szCs w:val="28"/>
          <w:shd w:val="clear" w:color="auto" w:fill="FFFFFF"/>
          <w:lang w:val="pt-BR"/>
        </w:rPr>
        <w:t>NHÀ Ở XÃ HỘI - NHÀ Ở TÁI ĐỊNH CƯ</w:t>
      </w:r>
    </w:p>
    <w:p w:rsidR="0039032E" w:rsidRDefault="0039032E" w:rsidP="00FB6618">
      <w:pPr>
        <w:widowControl w:val="0"/>
        <w:spacing w:before="40"/>
        <w:jc w:val="center"/>
        <w:rPr>
          <w:i/>
          <w:szCs w:val="28"/>
          <w:lang w:val="pt-BR"/>
        </w:rPr>
      </w:pPr>
      <w:r w:rsidRPr="0031579C">
        <w:rPr>
          <w:i/>
          <w:szCs w:val="28"/>
          <w:lang w:val="pt-BR"/>
        </w:rPr>
        <w:t xml:space="preserve">(Kèm theo Tờ trình số </w:t>
      </w:r>
      <w:r w:rsidR="007D3FF4">
        <w:rPr>
          <w:i/>
          <w:szCs w:val="28"/>
          <w:lang w:val="pt-BR"/>
        </w:rPr>
        <w:t xml:space="preserve">    /TTr-UBND ngày   /   </w:t>
      </w:r>
      <w:r w:rsidRPr="0031579C">
        <w:rPr>
          <w:i/>
          <w:szCs w:val="28"/>
          <w:lang w:val="pt-BR"/>
        </w:rPr>
        <w:t>/2020 của Ủy ban nhân dân tỉnh)</w:t>
      </w:r>
    </w:p>
    <w:p w:rsidR="0039032E" w:rsidRDefault="0039032E" w:rsidP="0039032E">
      <w:pPr>
        <w:widowControl w:val="0"/>
        <w:spacing w:before="40"/>
        <w:ind w:left="-142" w:right="-427"/>
        <w:jc w:val="center"/>
        <w:rPr>
          <w:i/>
          <w:szCs w:val="28"/>
          <w:lang w:val="pt-BR"/>
        </w:rPr>
      </w:pPr>
    </w:p>
    <w:p w:rsidR="0039032E" w:rsidRPr="00AB5406" w:rsidRDefault="0039032E" w:rsidP="00FB6618">
      <w:pPr>
        <w:widowControl w:val="0"/>
        <w:spacing w:before="120"/>
        <w:ind w:firstLine="567"/>
        <w:jc w:val="both"/>
        <w:rPr>
          <w:szCs w:val="28"/>
          <w:lang w:val="nl-NL"/>
        </w:rPr>
      </w:pPr>
      <w:r w:rsidRPr="000C621A">
        <w:rPr>
          <w:b/>
          <w:szCs w:val="28"/>
          <w:lang w:val="nl-NL"/>
        </w:rPr>
        <w:t xml:space="preserve">1. Quy mô </w:t>
      </w:r>
      <w:r w:rsidRPr="00AB5406">
        <w:rPr>
          <w:b/>
          <w:szCs w:val="28"/>
          <w:lang w:val="nl-NL"/>
        </w:rPr>
        <w:t>đầu tư</w:t>
      </w:r>
      <w:r w:rsidRPr="00AB5406">
        <w:rPr>
          <w:szCs w:val="28"/>
          <w:lang w:val="nl-NL"/>
        </w:rPr>
        <w:t xml:space="preserve">: Xây dựng 01 Block </w:t>
      </w:r>
      <w:r>
        <w:rPr>
          <w:szCs w:val="28"/>
          <w:lang w:val="nl-NL"/>
        </w:rPr>
        <w:t xml:space="preserve">nhà </w:t>
      </w:r>
      <w:r w:rsidRPr="00AB5406">
        <w:rPr>
          <w:szCs w:val="28"/>
          <w:lang w:val="nl-NL"/>
        </w:rPr>
        <w:t>cao 09 tầng; phục vụ cho 96 hộ/384 người; tổng diện tích sàn khoảng 9.546m</w:t>
      </w:r>
      <w:r w:rsidRPr="00AB5406">
        <w:rPr>
          <w:szCs w:val="28"/>
          <w:vertAlign w:val="superscript"/>
          <w:lang w:val="nl-NL"/>
        </w:rPr>
        <w:t>2</w:t>
      </w:r>
      <w:r w:rsidRPr="00AB5406">
        <w:rPr>
          <w:szCs w:val="28"/>
          <w:lang w:val="nl-NL"/>
        </w:rPr>
        <w:t>. Diện tích sử dụng đất để xây dựng 01 Block và đường nội bộ, cây xanh khoảng 1.379m</w:t>
      </w:r>
      <w:r w:rsidRPr="00AB5406">
        <w:rPr>
          <w:szCs w:val="28"/>
          <w:vertAlign w:val="superscript"/>
          <w:lang w:val="nl-NL"/>
        </w:rPr>
        <w:t>2</w:t>
      </w:r>
      <w:r w:rsidRPr="00AB5406">
        <w:rPr>
          <w:szCs w:val="28"/>
          <w:lang w:val="nl-NL"/>
        </w:rPr>
        <w:t xml:space="preserve">, và các hạng mục phụ trợ khác. </w:t>
      </w:r>
    </w:p>
    <w:p w:rsidR="0039032E" w:rsidRPr="00AB5406" w:rsidRDefault="0039032E" w:rsidP="00FB6618">
      <w:pPr>
        <w:widowControl w:val="0"/>
        <w:spacing w:before="120"/>
        <w:ind w:firstLine="567"/>
        <w:jc w:val="both"/>
        <w:rPr>
          <w:szCs w:val="28"/>
          <w:lang w:val="nl-NL"/>
        </w:rPr>
      </w:pPr>
      <w:r w:rsidRPr="00AB5406">
        <w:rPr>
          <w:b/>
          <w:szCs w:val="28"/>
          <w:lang w:val="nl-NL"/>
        </w:rPr>
        <w:t>2. Tổng mức đầu tư</w:t>
      </w:r>
      <w:r w:rsidRPr="00AB5406">
        <w:rPr>
          <w:szCs w:val="28"/>
          <w:lang w:val="nl-NL"/>
        </w:rPr>
        <w:t>:</w:t>
      </w:r>
      <w:r w:rsidRPr="00AB5406">
        <w:rPr>
          <w:i/>
          <w:szCs w:val="28"/>
          <w:lang w:val="pt-BR"/>
        </w:rPr>
        <w:t xml:space="preserve"> </w:t>
      </w:r>
      <w:r w:rsidRPr="00AB5406">
        <w:rPr>
          <w:szCs w:val="28"/>
          <w:lang w:val="nl-NL"/>
        </w:rPr>
        <w:t>76,1 tỷ đồng.</w:t>
      </w:r>
    </w:p>
    <w:p w:rsidR="0039032E" w:rsidRPr="00AB5406" w:rsidRDefault="0039032E" w:rsidP="00FB6618">
      <w:pPr>
        <w:widowControl w:val="0"/>
        <w:spacing w:before="120"/>
        <w:ind w:firstLine="567"/>
        <w:jc w:val="both"/>
        <w:rPr>
          <w:i/>
          <w:szCs w:val="28"/>
          <w:lang w:val="pt-BR"/>
        </w:rPr>
      </w:pPr>
      <w:r w:rsidRPr="00AB5406">
        <w:rPr>
          <w:b/>
          <w:szCs w:val="28"/>
          <w:lang w:val="nl-NL"/>
        </w:rPr>
        <w:t>3. Nhóm dự án</w:t>
      </w:r>
      <w:r w:rsidRPr="00AB5406">
        <w:rPr>
          <w:szCs w:val="28"/>
          <w:lang w:val="nl-NL"/>
        </w:rPr>
        <w:t>: Nhóm C</w:t>
      </w:r>
      <w:r w:rsidRPr="00AB5406">
        <w:rPr>
          <w:i/>
          <w:szCs w:val="28"/>
          <w:lang w:val="pt-BR"/>
        </w:rPr>
        <w:t xml:space="preserve"> </w:t>
      </w:r>
    </w:p>
    <w:p w:rsidR="0039032E" w:rsidRPr="00FA6313" w:rsidRDefault="0039032E" w:rsidP="00FB6618">
      <w:pPr>
        <w:spacing w:before="120"/>
        <w:ind w:firstLine="567"/>
        <w:jc w:val="both"/>
        <w:rPr>
          <w:b/>
          <w:szCs w:val="28"/>
          <w:lang w:val="nl-NL"/>
        </w:rPr>
      </w:pPr>
      <w:r w:rsidRPr="00FA6313">
        <w:rPr>
          <w:b/>
          <w:szCs w:val="28"/>
          <w:lang w:val="nl-NL"/>
        </w:rPr>
        <w:t xml:space="preserve">4. </w:t>
      </w:r>
      <w:r w:rsidRPr="00FA6313">
        <w:rPr>
          <w:szCs w:val="28"/>
          <w:lang w:val="nl-NL"/>
        </w:rPr>
        <w:t>Các nội dung khác giữ nguyên như Thông báo số 44/TB-HĐND ngày 23/8/2018 của Thường trực Hội đồng nhân dân tỉnh.</w:t>
      </w:r>
    </w:p>
    <w:p w:rsidR="0039032E" w:rsidRPr="0031579C" w:rsidRDefault="0039032E" w:rsidP="0039032E">
      <w:pPr>
        <w:widowControl w:val="0"/>
        <w:spacing w:before="120"/>
        <w:ind w:right="-427"/>
        <w:jc w:val="center"/>
        <w:rPr>
          <w:szCs w:val="28"/>
        </w:rPr>
      </w:pPr>
      <w:r>
        <w:rPr>
          <w:b/>
        </w:rPr>
        <w:t>---------------------</w:t>
      </w:r>
    </w:p>
    <w:p w:rsidR="0039032E" w:rsidRPr="00370310" w:rsidRDefault="0039032E" w:rsidP="0039032E">
      <w:pPr>
        <w:widowControl w:val="0"/>
        <w:ind w:firstLine="567"/>
        <w:jc w:val="both"/>
        <w:rPr>
          <w:sz w:val="16"/>
          <w:szCs w:val="16"/>
          <w:shd w:val="clear" w:color="auto" w:fill="FFFFFF"/>
        </w:rPr>
      </w:pPr>
    </w:p>
    <w:p w:rsidR="0039032E" w:rsidRDefault="0039032E" w:rsidP="0039032E">
      <w:pPr>
        <w:widowControl w:val="0"/>
        <w:spacing w:before="120" w:after="120"/>
        <w:ind w:firstLine="567"/>
        <w:rPr>
          <w:szCs w:val="28"/>
        </w:rPr>
      </w:pPr>
    </w:p>
    <w:p w:rsidR="00526253" w:rsidRDefault="00526253"/>
    <w:sectPr w:rsidR="00526253" w:rsidSect="000D162B">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56" w:rsidRDefault="00BF7956" w:rsidP="0039032E">
      <w:r>
        <w:separator/>
      </w:r>
    </w:p>
  </w:endnote>
  <w:endnote w:type="continuationSeparator" w:id="0">
    <w:p w:rsidR="00BF7956" w:rsidRDefault="00BF7956" w:rsidP="0039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862326"/>
      <w:docPartObj>
        <w:docPartGallery w:val="Page Numbers (Bottom of Page)"/>
        <w:docPartUnique/>
      </w:docPartObj>
    </w:sdtPr>
    <w:sdtEndPr>
      <w:rPr>
        <w:noProof/>
      </w:rPr>
    </w:sdtEndPr>
    <w:sdtContent>
      <w:p w:rsidR="007D3FF4" w:rsidRDefault="007D3FF4">
        <w:pPr>
          <w:pStyle w:val="Footer"/>
          <w:jc w:val="right"/>
        </w:pPr>
        <w:r>
          <w:fldChar w:fldCharType="begin"/>
        </w:r>
        <w:r>
          <w:instrText xml:space="preserve"> PAGE   \* MERGEFORMAT </w:instrText>
        </w:r>
        <w:r>
          <w:fldChar w:fldCharType="separate"/>
        </w:r>
        <w:r w:rsidR="00FA6313">
          <w:rPr>
            <w:noProof/>
          </w:rPr>
          <w:t>2</w:t>
        </w:r>
        <w:r>
          <w:rPr>
            <w:noProof/>
          </w:rPr>
          <w:fldChar w:fldCharType="end"/>
        </w:r>
      </w:p>
    </w:sdtContent>
  </w:sdt>
  <w:p w:rsidR="007D3FF4" w:rsidRDefault="007D3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56" w:rsidRDefault="00BF7956" w:rsidP="0039032E">
      <w:r>
        <w:separator/>
      </w:r>
    </w:p>
  </w:footnote>
  <w:footnote w:type="continuationSeparator" w:id="0">
    <w:p w:rsidR="00BF7956" w:rsidRDefault="00BF7956" w:rsidP="0039032E">
      <w:r>
        <w:continuationSeparator/>
      </w:r>
    </w:p>
  </w:footnote>
  <w:footnote w:id="1">
    <w:p w:rsidR="0039032E" w:rsidRPr="000F3CB8" w:rsidRDefault="0039032E" w:rsidP="0039032E">
      <w:pPr>
        <w:pStyle w:val="FootnoteText"/>
        <w:jc w:val="both"/>
        <w:rPr>
          <w:sz w:val="18"/>
          <w:szCs w:val="18"/>
          <w:lang w:val="en-US"/>
        </w:rPr>
      </w:pPr>
      <w:r w:rsidRPr="000F3CB8">
        <w:rPr>
          <w:sz w:val="18"/>
          <w:szCs w:val="18"/>
          <w:lang w:val="en-US"/>
        </w:rPr>
        <w:t>(</w:t>
      </w:r>
      <w:r w:rsidRPr="000F3CB8">
        <w:rPr>
          <w:rStyle w:val="FootnoteReference"/>
          <w:sz w:val="18"/>
          <w:szCs w:val="18"/>
        </w:rPr>
        <w:footnoteRef/>
      </w:r>
      <w:r w:rsidRPr="000F3CB8">
        <w:rPr>
          <w:sz w:val="18"/>
          <w:szCs w:val="18"/>
          <w:lang w:val="en-US"/>
        </w:rPr>
        <w:t xml:space="preserve">): </w:t>
      </w:r>
      <w:r w:rsidRPr="000F3CB8">
        <w:rPr>
          <w:sz w:val="18"/>
          <w:szCs w:val="18"/>
          <w:lang w:val="nl-NL"/>
        </w:rPr>
        <w:t>Được Thường trực Hội đồng nhân dân tỉnh quyết định chủ trương đầu tư tại Thông báo số 41/TB-HĐND ngày 28/10/2015</w:t>
      </w:r>
      <w:r w:rsidRPr="000F3CB8">
        <w:rPr>
          <w:sz w:val="18"/>
          <w:szCs w:val="18"/>
        </w:rPr>
        <w:t>.</w:t>
      </w:r>
    </w:p>
  </w:footnote>
  <w:footnote w:id="2">
    <w:p w:rsidR="0039032E" w:rsidRPr="000F3CB8" w:rsidRDefault="0039032E" w:rsidP="0039032E">
      <w:pPr>
        <w:pStyle w:val="FootnoteText"/>
        <w:jc w:val="both"/>
        <w:rPr>
          <w:sz w:val="18"/>
          <w:szCs w:val="18"/>
          <w:lang w:val="en-US"/>
        </w:rPr>
      </w:pPr>
      <w:r w:rsidRPr="000F3CB8">
        <w:rPr>
          <w:sz w:val="18"/>
          <w:szCs w:val="18"/>
          <w:lang w:val="en-US"/>
        </w:rPr>
        <w:t>(</w:t>
      </w:r>
      <w:r w:rsidRPr="000F3CB8">
        <w:rPr>
          <w:rStyle w:val="FootnoteReference"/>
          <w:sz w:val="18"/>
          <w:szCs w:val="18"/>
        </w:rPr>
        <w:footnoteRef/>
      </w:r>
      <w:r w:rsidRPr="000F3CB8">
        <w:rPr>
          <w:sz w:val="18"/>
          <w:szCs w:val="18"/>
          <w:lang w:val="en-US"/>
        </w:rPr>
        <w:t xml:space="preserve">): </w:t>
      </w:r>
      <w:r w:rsidRPr="000F3CB8">
        <w:rPr>
          <w:spacing w:val="-2"/>
          <w:sz w:val="18"/>
          <w:szCs w:val="18"/>
          <w:lang w:val="nl-NL"/>
        </w:rPr>
        <w:t>Được Thường trực Hội đồng nhân dân tỉnh quyết định chủ trương đầu tư tại Thông báo số 44/TB-HĐND ngày 23/8/2018</w:t>
      </w:r>
      <w:r w:rsidRPr="000F3CB8">
        <w:rPr>
          <w:sz w:val="18"/>
          <w:szCs w:val="18"/>
        </w:rPr>
        <w:t xml:space="preserve"> </w:t>
      </w:r>
    </w:p>
  </w:footnote>
  <w:footnote w:id="3">
    <w:p w:rsidR="0039032E" w:rsidRPr="000F3CB8" w:rsidRDefault="0039032E" w:rsidP="0039032E">
      <w:pPr>
        <w:pStyle w:val="FootnoteText"/>
        <w:jc w:val="both"/>
        <w:rPr>
          <w:sz w:val="18"/>
          <w:szCs w:val="18"/>
          <w:lang w:val="en-US"/>
        </w:rPr>
      </w:pPr>
      <w:r w:rsidRPr="000F3CB8">
        <w:rPr>
          <w:sz w:val="18"/>
          <w:szCs w:val="18"/>
          <w:lang w:val="en-US"/>
        </w:rPr>
        <w:t>(</w:t>
      </w:r>
      <w:r w:rsidRPr="000F3CB8">
        <w:rPr>
          <w:rStyle w:val="FootnoteReference"/>
          <w:sz w:val="18"/>
          <w:szCs w:val="18"/>
        </w:rPr>
        <w:footnoteRef/>
      </w:r>
      <w:r w:rsidRPr="000F3CB8">
        <w:rPr>
          <w:sz w:val="18"/>
          <w:szCs w:val="18"/>
          <w:lang w:val="en-US"/>
        </w:rPr>
        <w:t xml:space="preserve">): Được </w:t>
      </w:r>
      <w:r w:rsidRPr="000F3CB8">
        <w:rPr>
          <w:spacing w:val="-2"/>
          <w:sz w:val="18"/>
          <w:szCs w:val="18"/>
          <w:lang w:val="nl-NL"/>
        </w:rPr>
        <w:t xml:space="preserve">Thường trực Hội đồng nhân dân tỉnh quyết định chủ trương đầu tư tại Thông báo số 41/TB-HĐND ngày 28/10/2015 và điều chỉnh chủ trương tại Thông báo số 22/TB-HĐND ngày 13/4/2018. </w:t>
      </w:r>
      <w:r w:rsidRPr="000F3CB8">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2E"/>
    <w:rsid w:val="000D162B"/>
    <w:rsid w:val="000F3CB8"/>
    <w:rsid w:val="00174117"/>
    <w:rsid w:val="002A577F"/>
    <w:rsid w:val="00375221"/>
    <w:rsid w:val="0039032E"/>
    <w:rsid w:val="00526253"/>
    <w:rsid w:val="007D3FF4"/>
    <w:rsid w:val="00A47458"/>
    <w:rsid w:val="00BF7956"/>
    <w:rsid w:val="00D0332F"/>
    <w:rsid w:val="00DE53F2"/>
    <w:rsid w:val="00EC5F2F"/>
    <w:rsid w:val="00FA6313"/>
    <w:rsid w:val="00FB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2E"/>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9032E"/>
    <w:rPr>
      <w:sz w:val="20"/>
      <w:lang w:val="x-none" w:eastAsia="x-none"/>
    </w:rPr>
  </w:style>
  <w:style w:type="character" w:customStyle="1" w:styleId="FootnoteTextChar">
    <w:name w:val="Footnote Text Char"/>
    <w:basedOn w:val="DefaultParagraphFont"/>
    <w:link w:val="FootnoteText"/>
    <w:rsid w:val="0039032E"/>
    <w:rPr>
      <w:rFonts w:ascii="Times New Roman" w:eastAsia="Times New Roman" w:hAnsi="Times New Roman" w:cs="Times New Roman"/>
      <w:sz w:val="20"/>
      <w:szCs w:val="20"/>
      <w:lang w:val="x-none" w:eastAsia="x-none"/>
    </w:rPr>
  </w:style>
  <w:style w:type="character" w:styleId="FootnoteReference">
    <w:name w:val="footnote reference"/>
    <w:unhideWhenUsed/>
    <w:rsid w:val="0039032E"/>
    <w:rPr>
      <w:vertAlign w:val="superscript"/>
    </w:rPr>
  </w:style>
  <w:style w:type="paragraph" w:styleId="BodyTextIndent2">
    <w:name w:val="Body Text Indent 2"/>
    <w:basedOn w:val="Normal"/>
    <w:link w:val="BodyTextIndent2Char"/>
    <w:uiPriority w:val="99"/>
    <w:unhideWhenUsed/>
    <w:rsid w:val="0039032E"/>
    <w:pPr>
      <w:spacing w:after="120" w:line="480" w:lineRule="auto"/>
      <w:ind w:left="360"/>
    </w:pPr>
  </w:style>
  <w:style w:type="character" w:customStyle="1" w:styleId="BodyTextIndent2Char">
    <w:name w:val="Body Text Indent 2 Char"/>
    <w:basedOn w:val="DefaultParagraphFont"/>
    <w:link w:val="BodyTextIndent2"/>
    <w:uiPriority w:val="99"/>
    <w:rsid w:val="0039032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D3FF4"/>
    <w:pPr>
      <w:tabs>
        <w:tab w:val="center" w:pos="4680"/>
        <w:tab w:val="right" w:pos="9360"/>
      </w:tabs>
    </w:pPr>
  </w:style>
  <w:style w:type="character" w:customStyle="1" w:styleId="HeaderChar">
    <w:name w:val="Header Char"/>
    <w:basedOn w:val="DefaultParagraphFont"/>
    <w:link w:val="Header"/>
    <w:uiPriority w:val="99"/>
    <w:rsid w:val="007D3FF4"/>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7D3FF4"/>
    <w:pPr>
      <w:tabs>
        <w:tab w:val="center" w:pos="4680"/>
        <w:tab w:val="right" w:pos="9360"/>
      </w:tabs>
    </w:pPr>
  </w:style>
  <w:style w:type="character" w:customStyle="1" w:styleId="FooterChar">
    <w:name w:val="Footer Char"/>
    <w:basedOn w:val="DefaultParagraphFont"/>
    <w:link w:val="Footer"/>
    <w:uiPriority w:val="99"/>
    <w:rsid w:val="007D3FF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2E"/>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9032E"/>
    <w:rPr>
      <w:sz w:val="20"/>
      <w:lang w:val="x-none" w:eastAsia="x-none"/>
    </w:rPr>
  </w:style>
  <w:style w:type="character" w:customStyle="1" w:styleId="FootnoteTextChar">
    <w:name w:val="Footnote Text Char"/>
    <w:basedOn w:val="DefaultParagraphFont"/>
    <w:link w:val="FootnoteText"/>
    <w:rsid w:val="0039032E"/>
    <w:rPr>
      <w:rFonts w:ascii="Times New Roman" w:eastAsia="Times New Roman" w:hAnsi="Times New Roman" w:cs="Times New Roman"/>
      <w:sz w:val="20"/>
      <w:szCs w:val="20"/>
      <w:lang w:val="x-none" w:eastAsia="x-none"/>
    </w:rPr>
  </w:style>
  <w:style w:type="character" w:styleId="FootnoteReference">
    <w:name w:val="footnote reference"/>
    <w:unhideWhenUsed/>
    <w:rsid w:val="0039032E"/>
    <w:rPr>
      <w:vertAlign w:val="superscript"/>
    </w:rPr>
  </w:style>
  <w:style w:type="paragraph" w:styleId="BodyTextIndent2">
    <w:name w:val="Body Text Indent 2"/>
    <w:basedOn w:val="Normal"/>
    <w:link w:val="BodyTextIndent2Char"/>
    <w:uiPriority w:val="99"/>
    <w:unhideWhenUsed/>
    <w:rsid w:val="0039032E"/>
    <w:pPr>
      <w:spacing w:after="120" w:line="480" w:lineRule="auto"/>
      <w:ind w:left="360"/>
    </w:pPr>
  </w:style>
  <w:style w:type="character" w:customStyle="1" w:styleId="BodyTextIndent2Char">
    <w:name w:val="Body Text Indent 2 Char"/>
    <w:basedOn w:val="DefaultParagraphFont"/>
    <w:link w:val="BodyTextIndent2"/>
    <w:uiPriority w:val="99"/>
    <w:rsid w:val="0039032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D3FF4"/>
    <w:pPr>
      <w:tabs>
        <w:tab w:val="center" w:pos="4680"/>
        <w:tab w:val="right" w:pos="9360"/>
      </w:tabs>
    </w:pPr>
  </w:style>
  <w:style w:type="character" w:customStyle="1" w:styleId="HeaderChar">
    <w:name w:val="Header Char"/>
    <w:basedOn w:val="DefaultParagraphFont"/>
    <w:link w:val="Header"/>
    <w:uiPriority w:val="99"/>
    <w:rsid w:val="007D3FF4"/>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7D3FF4"/>
    <w:pPr>
      <w:tabs>
        <w:tab w:val="center" w:pos="4680"/>
        <w:tab w:val="right" w:pos="9360"/>
      </w:tabs>
    </w:pPr>
  </w:style>
  <w:style w:type="character" w:customStyle="1" w:styleId="FooterChar">
    <w:name w:val="Footer Char"/>
    <w:basedOn w:val="DefaultParagraphFont"/>
    <w:link w:val="Footer"/>
    <w:uiPriority w:val="99"/>
    <w:rsid w:val="007D3FF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2020-09-22T09:09:00Z</dcterms:created>
  <dcterms:modified xsi:type="dcterms:W3CDTF">2020-09-24T03:16:00Z</dcterms:modified>
</cp:coreProperties>
</file>